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80010</wp:posOffset>
            </wp:positionV>
            <wp:extent cx="154305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T-MOBILE US, INC.</w:t>
      </w:r>
    </w:p>
    <w:p>
      <w:pPr>
        <w:spacing w:after="0" w:line="125"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5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180" w:type="dxa"/>
            <w:vAlign w:val="bottom"/>
          </w:tcPr>
          <w:p>
            <w:pPr>
              <w:jc w:val="center"/>
              <w:ind w:right="39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1-33409</w:t>
            </w:r>
          </w:p>
        </w:tc>
        <w:tc>
          <w:tcPr>
            <w:tcW w:w="1800" w:type="dxa"/>
            <w:vAlign w:val="bottom"/>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20-0836269</w:t>
            </w:r>
          </w:p>
        </w:tc>
        <w:tc>
          <w:tcPr>
            <w:tcW w:w="0" w:type="dxa"/>
            <w:vAlign w:val="bottom"/>
          </w:tcPr>
          <w:p>
            <w:pPr>
              <w:spacing w:after="0"/>
              <w:rPr>
                <w:sz w:val="1"/>
                <w:szCs w:val="1"/>
                <w:color w:val="auto"/>
              </w:rPr>
            </w:pPr>
          </w:p>
        </w:tc>
      </w:tr>
      <w:tr>
        <w:trPr>
          <w:trHeight w:val="243"/>
        </w:trPr>
        <w:tc>
          <w:tcPr>
            <w:tcW w:w="2180" w:type="dxa"/>
            <w:vAlign w:val="bottom"/>
          </w:tcPr>
          <w:p>
            <w:pPr>
              <w:jc w:val="center"/>
              <w:ind w:right="396"/>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5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800" w:type="dxa"/>
            <w:vAlign w:val="bottom"/>
          </w:tcPr>
          <w:p>
            <w:pPr>
              <w:jc w:val="center"/>
              <w:ind w:left="496"/>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305"/>
        </w:trPr>
        <w:tc>
          <w:tcPr>
            <w:tcW w:w="2180" w:type="dxa"/>
            <w:vAlign w:val="bottom"/>
          </w:tcPr>
          <w:p>
            <w:pPr>
              <w:jc w:val="center"/>
              <w:ind w:right="396"/>
              <w:spacing w:after="0"/>
              <w:rPr>
                <w:sz w:val="20"/>
                <w:szCs w:val="20"/>
                <w:color w:val="auto"/>
              </w:rPr>
            </w:pPr>
            <w:r>
              <w:rPr>
                <w:rFonts w:ascii="Times New Roman" w:cs="Times New Roman" w:eastAsia="Times New Roman" w:hAnsi="Times New Roman"/>
                <w:sz w:val="16"/>
                <w:szCs w:val="16"/>
                <w:color w:val="auto"/>
              </w:rPr>
              <w:t>of incorporation)</w:t>
            </w:r>
          </w:p>
        </w:tc>
        <w:tc>
          <w:tcPr>
            <w:tcW w:w="5020" w:type="dxa"/>
            <w:vAlign w:val="bottom"/>
          </w:tcPr>
          <w:p>
            <w:pPr>
              <w:spacing w:after="0"/>
              <w:rPr>
                <w:sz w:val="24"/>
                <w:szCs w:val="24"/>
                <w:color w:val="auto"/>
              </w:rPr>
            </w:pPr>
          </w:p>
        </w:tc>
        <w:tc>
          <w:tcPr>
            <w:tcW w:w="1800" w:type="dxa"/>
            <w:vAlign w:val="bottom"/>
            <w:vMerge w:val="restart"/>
          </w:tcPr>
          <w:p>
            <w:pPr>
              <w:jc w:val="center"/>
              <w:ind w:left="516"/>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12920 SE 38th Street</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Bellevue, Washington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98006-1350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(Zip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(425) 378-4000</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95"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8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Common Stock, par value $0.00001 per share</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TMUS</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3.550% Senior Notes due 2029</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TMUS29</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3.700% Senior Notes due 2032</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TMUS32</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3.150% Senior Notes due 2032</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TMUS32A</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3.200% Senior Notes due 2032</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TMUS32B</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3.625% Senior Notes due 2035</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TMUS35</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3.850% Senior Notes due 2036</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TMUS36</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3.500% Senior Notes due 2037</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TMUS37</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3.900% Senior Notes due 2038</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TMUS38</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3.800% Senior Notes due 2045</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TMUS45</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6.250% Senior Notes due 2069</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TMUSL</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5.500% Senior Notes due March 2070</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TMUSZ</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43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5.500% Senior Notes due June 2070</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TMUSI</w:t>
            </w:r>
          </w:p>
        </w:tc>
        <w:tc>
          <w:tcPr>
            <w:tcW w:w="428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1494"/>
        </w:trPr>
        <w:tc>
          <w:tcPr>
            <w:tcW w:w="43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ind w:right="4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On October 28, 2026, T-Mobile US, Inc. (the “Company”) issued a press release announcing the financial and operating results of the Company for the quarter ended September 30, 2026. The text of the press release and accompanying Investor Factbook are furnished as Exhibits </w:t>
      </w:r>
      <w:r>
        <w:rPr>
          <w:rFonts w:ascii="Times New Roman" w:cs="Times New Roman" w:eastAsia="Times New Roman" w:hAnsi="Times New Roman"/>
          <w:sz w:val="18"/>
          <w:szCs w:val="18"/>
          <w:u w:val="single" w:color="auto"/>
          <w:color w:val="0000FF"/>
        </w:rPr>
        <w:t>99.1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99.2</w:t>
      </w:r>
      <w:r>
        <w:rPr>
          <w:rFonts w:ascii="Times New Roman" w:cs="Times New Roman" w:eastAsia="Times New Roman" w:hAnsi="Times New Roman"/>
          <w:sz w:val="18"/>
          <w:szCs w:val="18"/>
          <w:color w:val="auto"/>
        </w:rPr>
        <w:t xml:space="preserve"> and incorporated herein by reference.</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 Item 2.02 to this Current Report on Form 8-K, including Exhibits </w:t>
      </w:r>
      <w:r>
        <w:rPr>
          <w:rFonts w:ascii="Times New Roman" w:cs="Times New Roman" w:eastAsia="Times New Roman" w:hAnsi="Times New Roman"/>
          <w:sz w:val="18"/>
          <w:szCs w:val="18"/>
          <w:u w:val="single" w:color="auto"/>
          <w:color w:val="0000FF"/>
        </w:rPr>
        <w:t>99.1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99.2</w:t>
      </w:r>
      <w:r>
        <w:rPr>
          <w:rFonts w:ascii="Times New Roman" w:cs="Times New Roman" w:eastAsia="Times New Roman" w:hAnsi="Times New Roman"/>
          <w:sz w:val="18"/>
          <w:szCs w:val="18"/>
          <w:color w:val="auto"/>
        </w:rPr>
        <w:t>,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02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Press release, dated October 28, 2026, entitled "T-Mobile Delivers Strong Account and ARPA Growth, Translating into Industry-Leading</w:t>
            </w:r>
          </w:p>
        </w:tc>
      </w:tr>
      <w:tr>
        <w:trPr>
          <w:trHeight w:val="156"/>
        </w:trPr>
        <w:tc>
          <w:tcPr>
            <w:tcW w:w="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35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Service Revenue, Profitability and EPS Growth"</w:t>
            </w:r>
          </w:p>
        </w:tc>
        <w:tc>
          <w:tcPr>
            <w:tcW w:w="6380" w:type="dxa"/>
            <w:vAlign w:val="bottom"/>
            <w:tcBorders>
              <w:top w:val="single" w:sz="8" w:color="0000FF"/>
            </w:tcBorders>
            <w:gridSpan w:val="2"/>
          </w:tcPr>
          <w:p>
            <w:pPr>
              <w:spacing w:after="0"/>
              <w:rPr>
                <w:sz w:val="13"/>
                <w:szCs w:val="13"/>
                <w:color w:val="auto"/>
              </w:rPr>
            </w:pPr>
          </w:p>
        </w:tc>
        <w:tc>
          <w:tcPr>
            <w:tcW w:w="34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Investor Factbook of T-Mobile US, Inc. Third Quarter 2026 Results</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2"/>
                <w:szCs w:val="22"/>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993"/>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498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042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Peter Osvaldik</w:t>
      </w: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35"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EXHIBIT 99.1</w:t>
      </w:r>
    </w:p>
    <w:p>
      <w:pPr>
        <w:spacing w:after="0" w:line="39" w:lineRule="exact"/>
        <w:rPr>
          <w:sz w:val="20"/>
          <w:szCs w:val="20"/>
          <w:color w:val="auto"/>
        </w:rPr>
      </w:pPr>
    </w:p>
    <w:p>
      <w:pPr>
        <w:jc w:val="center"/>
        <w:spacing w:after="0" w:line="250" w:lineRule="auto"/>
        <w:rPr>
          <w:sz w:val="20"/>
          <w:szCs w:val="20"/>
          <w:color w:val="auto"/>
        </w:rPr>
      </w:pPr>
      <w:r>
        <w:rPr>
          <w:rFonts w:ascii="Arial" w:cs="Arial" w:eastAsia="Arial" w:hAnsi="Arial"/>
          <w:sz w:val="23"/>
          <w:szCs w:val="23"/>
          <w:b w:val="1"/>
          <w:bCs w:val="1"/>
          <w:color w:val="auto"/>
        </w:rPr>
        <w:t>T-Mobile Delivers Strong Account and ARPA Growth, Translating into Industry-Leading Service Revenue, Profitability and EPS Growth</w:t>
      </w:r>
    </w:p>
    <w:p>
      <w:pPr>
        <w:spacing w:after="0" w:line="2"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i w:val="1"/>
          <w:iCs w:val="1"/>
          <w:color w:val="auto"/>
        </w:rPr>
        <w:t>Q3 Results Demonstrate the Un-carrier’s Widening Differentiation, with Best Network, Best Value and Best Experiences Deepening Customer Relationships and Driving Industry-Leading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Continued Strong Account Growth and Deepening Customer Relationships Fueled by Widening Differentiation</w:t>
      </w:r>
    </w:p>
    <w:p>
      <w:pPr>
        <w:spacing w:after="0" w:line="11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Postpaid Average Revenue Per Account (“ARPA”) of $155.73 grew 4% year-over-year</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Postpaid net account additions of 274 thousand, with total postpaid accounts of 35.0 million up 3% year-over-year</w:t>
      </w:r>
    </w:p>
    <w:p>
      <w:pPr>
        <w:spacing w:after="0" w:line="8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8"/>
          <w:szCs w:val="18"/>
          <w:b w:val="1"/>
          <w:bCs w:val="1"/>
          <w:u w:val="single" w:color="auto"/>
          <w:color w:val="auto"/>
        </w:rPr>
        <w:t>Translating Strong Account Growth into Durable and Profitable Financial Growth</w:t>
      </w:r>
    </w:p>
    <w:p>
      <w:pPr>
        <w:spacing w:after="0" w:line="114"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Service revenues of $19.4 billion grew 6% year-over-year, industry-leading growth</w:t>
      </w:r>
      <w:r>
        <w:rPr>
          <w:rFonts w:ascii="Arial" w:cs="Arial" w:eastAsia="Arial" w:hAnsi="Arial"/>
          <w:sz w:val="23"/>
          <w:szCs w:val="23"/>
          <w:color w:val="auto"/>
          <w:vertAlign w:val="superscript"/>
        </w:rPr>
        <w:t>(1)</w:t>
      </w:r>
    </w:p>
    <w:p>
      <w:pPr>
        <w:spacing w:after="0" w:line="46" w:lineRule="exact"/>
        <w:rPr>
          <w:rFonts w:ascii="Arial" w:cs="Arial" w:eastAsia="Arial" w:hAnsi="Arial"/>
          <w:sz w:val="20"/>
          <w:szCs w:val="20"/>
          <w:color w:val="auto"/>
        </w:rPr>
      </w:pPr>
    </w:p>
    <w:p>
      <w:pPr>
        <w:ind w:left="320" w:hanging="312"/>
        <w:spacing w:after="0" w:line="237" w:lineRule="auto"/>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Postpaid service revenues of $16.3 billion grew 9% year-over-year, industry-leading growth</w:t>
      </w:r>
    </w:p>
    <w:p>
      <w:pPr>
        <w:spacing w:after="0" w:line="45"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Net income of $3.5 billion grew 27% year-over-year, industry-leading growth</w:t>
      </w:r>
    </w:p>
    <w:p>
      <w:pPr>
        <w:spacing w:after="0" w:line="67"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Diluted earnings per share (“EPS”) of $3.22 grew 34% year-over-year, industry-leading growth</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Core Adjusted EBITDA</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$9.6 billion grew 11% year-over-year, industry-leading growth</w:t>
      </w:r>
    </w:p>
    <w:p>
      <w:pPr>
        <w:spacing w:after="0" w:line="50" w:lineRule="exact"/>
        <w:rPr>
          <w:rFonts w:ascii="Arial" w:cs="Arial" w:eastAsia="Arial" w:hAnsi="Arial"/>
          <w:sz w:val="20"/>
          <w:szCs w:val="20"/>
          <w:color w:val="auto"/>
        </w:rPr>
      </w:pPr>
    </w:p>
    <w:p>
      <w:pPr>
        <w:ind w:left="320" w:hanging="312"/>
        <w:spacing w:after="0" w:line="230" w:lineRule="auto"/>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Net cash provided by operating activities of $7.3 billion decreased 2% year-over-year</w:t>
      </w:r>
    </w:p>
    <w:p>
      <w:pPr>
        <w:spacing w:after="0" w:line="56"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$5.1 billion grew 5% year-over-year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Extending Overall Network Lead with Best Assets, Customer Centricity and Technology Leadership</w:t>
      </w:r>
    </w:p>
    <w:p>
      <w:pPr>
        <w:spacing w:after="0" w:line="117" w:lineRule="exact"/>
        <w:rPr>
          <w:sz w:val="20"/>
          <w:szCs w:val="20"/>
          <w:color w:val="auto"/>
        </w:rPr>
      </w:pPr>
    </w:p>
    <w:p>
      <w:pPr>
        <w:ind w:left="340" w:hanging="332"/>
        <w:spacing w:after="0" w:line="251"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18"/>
          <w:szCs w:val="18"/>
          <w:color w:val="auto"/>
        </w:rPr>
        <w:t>PCMag awarded T-Mobile Best Mobile Network (Major Carrier), Fastest Mobile Network, Best Mobile Network Coverage, Best Mobile Network Pricing (Major Carrier), and Highest Mobile Network Customer Satisfaction (Major Carrier)</w:t>
      </w:r>
      <w:r>
        <w:rPr>
          <w:rFonts w:ascii="Arial" w:cs="Arial" w:eastAsia="Arial" w:hAnsi="Arial"/>
          <w:sz w:val="23"/>
          <w:szCs w:val="23"/>
          <w:color w:val="auto"/>
          <w:vertAlign w:val="superscript"/>
        </w:rPr>
        <w:t>(3)</w:t>
      </w: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18"/>
          <w:szCs w:val="18"/>
          <w:color w:val="auto"/>
        </w:rPr>
        <w:t>T-Mobile recognized by Opensignal as the 5G Global Winner for 5G Coverage and for Time on 5G in large land-area markets</w:t>
      </w:r>
      <w:r>
        <w:rPr>
          <w:rFonts w:ascii="Arial" w:cs="Arial" w:eastAsia="Arial" w:hAnsi="Arial"/>
          <w:sz w:val="23"/>
          <w:szCs w:val="23"/>
          <w:color w:val="auto"/>
          <w:vertAlign w:val="superscript"/>
        </w:rPr>
        <w:t>(4)</w:t>
      </w:r>
    </w:p>
    <w:p>
      <w:pPr>
        <w:spacing w:after="0" w:line="25"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18"/>
          <w:szCs w:val="18"/>
          <w:color w:val="auto"/>
        </w:rPr>
        <w:t>Ookla again ranked T-Mobile as the fastest 5G FWA provider in download &amp; upload speeds</w:t>
      </w:r>
      <w:r>
        <w:rPr>
          <w:rFonts w:ascii="Arial" w:cs="Arial" w:eastAsia="Arial" w:hAnsi="Arial"/>
          <w:sz w:val="23"/>
          <w:szCs w:val="23"/>
          <w:color w:val="auto"/>
          <w:vertAlign w:val="superscript"/>
        </w:rPr>
        <w:t>(5)</w:t>
      </w:r>
    </w:p>
    <w:p>
      <w:pPr>
        <w:spacing w:after="0" w:line="25" w:lineRule="exact"/>
        <w:rPr>
          <w:rFonts w:ascii="Arial" w:cs="Arial" w:eastAsia="Arial" w:hAnsi="Arial"/>
          <w:sz w:val="20"/>
          <w:szCs w:val="20"/>
          <w:color w:val="auto"/>
        </w:rPr>
      </w:pPr>
    </w:p>
    <w:p>
      <w:pPr>
        <w:ind w:left="340" w:right="20" w:hanging="332"/>
        <w:spacing w:after="0" w:line="262"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18"/>
          <w:szCs w:val="18"/>
          <w:color w:val="auto"/>
        </w:rPr>
        <w:t>T-Mobile awarded Mobile Network Test Champion by P3 for the second consecutive quarter in their Q3 2026 US Benchmark, again sweeping all 13 award categories</w:t>
      </w:r>
      <w:r>
        <w:rPr>
          <w:rFonts w:ascii="Arial" w:cs="Arial" w:eastAsia="Arial" w:hAnsi="Arial"/>
          <w:sz w:val="23"/>
          <w:szCs w:val="23"/>
          <w:color w:val="auto"/>
          <w:vertAlign w:val="superscript"/>
        </w:rPr>
        <w:t>(6)</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Bellevue, WA — October 28, 2026 </w:t>
      </w:r>
      <w:r>
        <w:rPr>
          <w:rFonts w:ascii="Arial" w:cs="Arial" w:eastAsia="Arial" w:hAnsi="Arial"/>
          <w:sz w:val="18"/>
          <w:szCs w:val="18"/>
          <w:color w:val="auto"/>
        </w:rPr>
        <w:t>— T-Mobile US, Inc. (NASDAQ: TMUS) reported third quarter 2026 results today, delivering strong</w:t>
      </w:r>
      <w:r>
        <w:rPr>
          <w:rFonts w:ascii="Arial" w:cs="Arial" w:eastAsia="Arial" w:hAnsi="Arial"/>
          <w:sz w:val="18"/>
          <w:szCs w:val="18"/>
          <w:b w:val="1"/>
          <w:bCs w:val="1"/>
          <w:color w:val="auto"/>
        </w:rPr>
        <w:t xml:space="preserve"> </w:t>
      </w:r>
      <w:r>
        <w:rPr>
          <w:rFonts w:ascii="Arial" w:cs="Arial" w:eastAsia="Arial" w:hAnsi="Arial"/>
          <w:sz w:val="18"/>
          <w:szCs w:val="18"/>
          <w:color w:val="auto"/>
        </w:rPr>
        <w:t>postpaid net account and postpaid ARPA growth, both ahead of original expectations. The company’s robust account and ARPA growth contributed to industry-leading service revenue growth, including Postpaid service revenue growth, as well as industry-leading Net income growth and Core Adjusted EBITDA growth. The company also delivered strong Net cash provided by operating activities margin and Adjusted Free Cash Flow margin.</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“Q3 marked another strong quarter and is further proof that our winning formula of the best network, best value, and best experiences drives durable and profitable growth,” said Srini Gopalan, CEO of T-Mobile. “More families and businesses are choosing T-Mobile, fueling our industry-leading financial growth. Our value proposition is clearly resonating for all customers, with our network as a significant driver of differentiation. We’re continuing to push the envelope on customer experience and innovation, with our best-in-class NPS underscoring our customer-first orientation. We have a tremendous growth runway ahead across core wireless, broadband, and smart adjacencies, and we’re just getting started.”</w:t>
      </w:r>
    </w:p>
    <w:p>
      <w:pPr>
        <w:spacing w:after="0" w:line="62"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___________________________________________________________</w:t>
      </w:r>
    </w:p>
    <w:p>
      <w:pPr>
        <w:spacing w:after="0" w:line="11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Industry-leading claims are based on consensus expectations if results are not yet reported.</w:t>
      </w:r>
    </w:p>
    <w:p>
      <w:pPr>
        <w:spacing w:after="0" w:line="5" w:lineRule="exact"/>
        <w:rPr>
          <w:rFonts w:ascii="Arial" w:cs="Arial" w:eastAsia="Arial" w:hAnsi="Arial"/>
          <w:sz w:val="11"/>
          <w:szCs w:val="11"/>
          <w:color w:val="auto"/>
        </w:rPr>
      </w:pPr>
    </w:p>
    <w:p>
      <w:pPr>
        <w:ind w:left="340" w:right="100" w:hanging="332"/>
        <w:spacing w:after="0" w:line="248" w:lineRule="auto"/>
        <w:tabs>
          <w:tab w:leader="none" w:pos="337" w:val="left"/>
        </w:tabs>
        <w:numPr>
          <w:ilvl w:val="0"/>
          <w:numId w:val="4"/>
        </w:numPr>
        <w:rPr>
          <w:rFonts w:ascii="Arial" w:cs="Arial" w:eastAsia="Arial" w:hAnsi="Arial"/>
          <w:sz w:val="11"/>
          <w:szCs w:val="11"/>
          <w:color w:val="auto"/>
        </w:rPr>
      </w:pPr>
      <w:r>
        <w:rPr>
          <w:rFonts w:ascii="Arial" w:cs="Arial" w:eastAsia="Arial" w:hAnsi="Arial"/>
          <w:sz w:val="11"/>
          <w:szCs w:val="11"/>
          <w:color w:val="auto"/>
        </w:rPr>
        <w:t>Core Adjusted EBITDA and Adjusted Free Cash Flow are non-GAAP financial measures. These non-GAAP financial measures should be considered in addition to, but not as a substitute for, the information provided in accordance with GAAP. Reconciliations for these non-GAAP financial measures to the most directly comparable GAAP financial measures are provided in the Reconciliation of Non-GAAP Financial Measures to GAAP Financial Measures tables. We are not able to forecast Net income on a forward-looking basis without unreasonable efforts due to the high variability and difficulty in predicting certain items that affect Net income, including, but not limited to, Special Items, Income tax expense and Interest expense. Core Adjusted EBITDA should not be used to predict Net income as the difference between this measure and Net income is variable.</w:t>
      </w:r>
    </w:p>
    <w:p>
      <w:pPr>
        <w:ind w:left="340" w:right="80" w:hanging="332"/>
        <w:spacing w:after="0" w:line="243" w:lineRule="auto"/>
        <w:tabs>
          <w:tab w:leader="none" w:pos="337" w:val="left"/>
        </w:tabs>
        <w:numPr>
          <w:ilvl w:val="0"/>
          <w:numId w:val="4"/>
        </w:numPr>
        <w:rPr>
          <w:rFonts w:ascii="Arial" w:cs="Arial" w:eastAsia="Arial" w:hAnsi="Arial"/>
          <w:sz w:val="11"/>
          <w:szCs w:val="11"/>
          <w:color w:val="auto"/>
        </w:rPr>
      </w:pPr>
      <w:r>
        <w:rPr>
          <w:rFonts w:ascii="Arial" w:cs="Arial" w:eastAsia="Arial" w:hAnsi="Arial"/>
          <w:sz w:val="11"/>
          <w:szCs w:val="11"/>
          <w:color w:val="auto"/>
        </w:rPr>
        <w:t>Based on PCMag's index of CoverageMap.com speed and 5G coverage test data (Jan. 1 to June 30, 2026), BestPhonePlans average unlimited plan pricing, and PCMag Readers' Choice survey results. PCMag The Best Mobile Networks in America 2026. Coverage award based on 5G coverage. Reprinted with permission. © 2026 Ziff Davis, LLC. All Rights Reserved.</w:t>
      </w:r>
    </w:p>
    <w:p>
      <w:pPr>
        <w:ind w:left="340" w:right="120" w:hanging="332"/>
        <w:spacing w:after="0" w:line="243" w:lineRule="auto"/>
        <w:tabs>
          <w:tab w:leader="none" w:pos="337" w:val="left"/>
        </w:tabs>
        <w:numPr>
          <w:ilvl w:val="0"/>
          <w:numId w:val="4"/>
        </w:numPr>
        <w:rPr>
          <w:rFonts w:ascii="Arial" w:cs="Arial" w:eastAsia="Arial" w:hAnsi="Arial"/>
          <w:sz w:val="11"/>
          <w:szCs w:val="11"/>
          <w:color w:val="auto"/>
        </w:rPr>
      </w:pPr>
      <w:r>
        <w:rPr>
          <w:rFonts w:ascii="Arial" w:cs="Arial" w:eastAsia="Arial" w:hAnsi="Arial"/>
          <w:sz w:val="11"/>
          <w:szCs w:val="11"/>
          <w:color w:val="auto"/>
        </w:rPr>
        <w:t>Opensignal Awards - 5G Global Mobile Network Experience Report, Sept 2026, Large land-area, based on independent analysis of mobile measurements recorded during the period Jan. 1 to June 29, 2026. © 2026 Opensignal Limited.</w:t>
      </w:r>
    </w:p>
    <w:p>
      <w:pPr>
        <w:ind w:left="320" w:hanging="312"/>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Fastest according to Ookla Speedtest Intelligence data, 1H2026. All rights reserved.</w:t>
      </w:r>
    </w:p>
    <w:p>
      <w:pPr>
        <w:spacing w:after="0" w:line="8" w:lineRule="exact"/>
        <w:rPr>
          <w:rFonts w:ascii="Arial" w:cs="Arial" w:eastAsia="Arial" w:hAnsi="Arial"/>
          <w:sz w:val="11"/>
          <w:szCs w:val="11"/>
          <w:color w:val="auto"/>
        </w:rPr>
      </w:pPr>
    </w:p>
    <w:p>
      <w:pPr>
        <w:ind w:left="320" w:hanging="312"/>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P3 US Mobile Benchmark Q3 2026.</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9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Continued Strong Account Growth and Deepening Customer Relationships Fueled by Widening Differentiation</w:t>
      </w:r>
    </w:p>
    <w:p>
      <w:pPr>
        <w:spacing w:after="0" w:line="11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 xml:space="preserve">Postpaid ARPA </w:t>
      </w:r>
      <w:r>
        <w:rPr>
          <w:rFonts w:ascii="Arial" w:cs="Arial" w:eastAsia="Arial" w:hAnsi="Arial"/>
          <w:sz w:val="17"/>
          <w:szCs w:val="17"/>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$155.73 grew 4% year-over-year.</w:t>
      </w:r>
    </w:p>
    <w:p>
      <w:pPr>
        <w:spacing w:after="0" w:line="53" w:lineRule="exact"/>
        <w:rPr>
          <w:rFonts w:ascii="Arial" w:cs="Arial" w:eastAsia="Arial" w:hAnsi="Arial"/>
          <w:sz w:val="20"/>
          <w:szCs w:val="20"/>
          <w:color w:val="auto"/>
        </w:rPr>
      </w:pPr>
    </w:p>
    <w:p>
      <w:pPr>
        <w:ind w:left="340" w:hanging="332"/>
        <w:spacing w:after="0" w:line="276"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 xml:space="preserve">Postpaid net account additions </w:t>
      </w:r>
      <w:r>
        <w:rPr>
          <w:rFonts w:ascii="Arial" w:cs="Arial" w:eastAsia="Arial" w:hAnsi="Arial"/>
          <w:sz w:val="18"/>
          <w:szCs w:val="18"/>
          <w:color w:val="auto"/>
        </w:rPr>
        <w:t>of 274 thousand, with total postpaid accounts of 35.0 million up 3% year-over-year. Postpaid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churn of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712343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940" w:type="dxa"/>
            <w:vAlign w:val="bottom"/>
            <w:shd w:val="clear" w:color="auto" w:fill="E20074"/>
          </w:tcPr>
          <w:p>
            <w:pPr>
              <w:spacing w:after="0"/>
              <w:rPr>
                <w:sz w:val="15"/>
                <w:szCs w:val="15"/>
                <w:color w:val="auto"/>
              </w:rPr>
            </w:pPr>
          </w:p>
        </w:tc>
        <w:tc>
          <w:tcPr>
            <w:tcW w:w="100" w:type="dxa"/>
            <w:vAlign w:val="bottom"/>
            <w:shd w:val="clear" w:color="auto" w:fill="E20074"/>
          </w:tcPr>
          <w:p>
            <w:pPr>
              <w:spacing w:after="0"/>
              <w:rPr>
                <w:sz w:val="15"/>
                <w:szCs w:val="15"/>
                <w:color w:val="auto"/>
              </w:rPr>
            </w:pPr>
          </w:p>
        </w:tc>
        <w:tc>
          <w:tcPr>
            <w:tcW w:w="940" w:type="dxa"/>
            <w:vAlign w:val="bottom"/>
            <w:vMerge w:val="restart"/>
            <w:shd w:val="clear" w:color="auto" w:fill="E20074"/>
          </w:tcPr>
          <w:p>
            <w:pPr>
              <w:jc w:val="right"/>
              <w:ind w:right="148"/>
              <w:spacing w:after="0"/>
              <w:rPr>
                <w:sz w:val="20"/>
                <w:szCs w:val="20"/>
                <w:color w:val="auto"/>
              </w:rPr>
            </w:pPr>
            <w:r>
              <w:rPr>
                <w:rFonts w:ascii="Arial" w:cs="Arial" w:eastAsia="Arial" w:hAnsi="Arial"/>
                <w:sz w:val="14"/>
                <w:szCs w:val="14"/>
                <w:b w:val="1"/>
                <w:bCs w:val="1"/>
                <w:color w:val="FFFFFF"/>
              </w:rPr>
              <w:t>Quarter</w:t>
            </w:r>
          </w:p>
        </w:tc>
        <w:tc>
          <w:tcPr>
            <w:tcW w:w="100" w:type="dxa"/>
            <w:vAlign w:val="bottom"/>
            <w:shd w:val="clear" w:color="auto" w:fill="E20074"/>
          </w:tcPr>
          <w:p>
            <w:pPr>
              <w:spacing w:after="0"/>
              <w:rPr>
                <w:sz w:val="15"/>
                <w:szCs w:val="15"/>
                <w:color w:val="auto"/>
              </w:rPr>
            </w:pPr>
          </w:p>
        </w:tc>
        <w:tc>
          <w:tcPr>
            <w:tcW w:w="920" w:type="dxa"/>
            <w:vAlign w:val="bottom"/>
            <w:shd w:val="clear" w:color="auto" w:fill="E20074"/>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shd w:val="clear" w:color="auto" w:fill="E20074"/>
          </w:tcPr>
          <w:p>
            <w:pPr>
              <w:jc w:val="right"/>
              <w:ind w:right="228"/>
              <w:spacing w:after="0"/>
              <w:rPr>
                <w:sz w:val="20"/>
                <w:szCs w:val="20"/>
                <w:color w:val="auto"/>
              </w:rPr>
            </w:pPr>
            <w:r>
              <w:rPr>
                <w:rFonts w:ascii="Arial" w:cs="Arial" w:eastAsia="Arial" w:hAnsi="Arial"/>
                <w:sz w:val="14"/>
                <w:szCs w:val="14"/>
                <w:b w:val="1"/>
                <w:bCs w:val="1"/>
                <w:color w:val="FFFFFF"/>
              </w:rPr>
              <w:t>Nine Months Ended</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940" w:type="dxa"/>
            <w:vAlign w:val="bottom"/>
            <w:shd w:val="clear" w:color="auto" w:fill="E20074"/>
          </w:tcPr>
          <w:p>
            <w:pPr>
              <w:spacing w:after="0"/>
              <w:rPr>
                <w:sz w:val="16"/>
                <w:szCs w:val="16"/>
                <w:color w:val="auto"/>
              </w:rPr>
            </w:pPr>
          </w:p>
        </w:tc>
        <w:tc>
          <w:tcPr>
            <w:tcW w:w="100" w:type="dxa"/>
            <w:vAlign w:val="bottom"/>
            <w:shd w:val="clear" w:color="auto" w:fill="E20074"/>
          </w:tcPr>
          <w:p>
            <w:pPr>
              <w:spacing w:after="0"/>
              <w:rPr>
                <w:sz w:val="16"/>
                <w:szCs w:val="16"/>
                <w:color w:val="auto"/>
              </w:rPr>
            </w:pPr>
          </w:p>
        </w:tc>
        <w:tc>
          <w:tcPr>
            <w:tcW w:w="940" w:type="dxa"/>
            <w:vAlign w:val="bottom"/>
            <w:vMerge w:val="continue"/>
            <w:shd w:val="clear" w:color="auto" w:fill="E20074"/>
          </w:tcPr>
          <w:p>
            <w:pPr>
              <w:spacing w:after="0"/>
              <w:rPr>
                <w:sz w:val="16"/>
                <w:szCs w:val="16"/>
                <w:color w:val="auto"/>
              </w:rPr>
            </w:pPr>
          </w:p>
        </w:tc>
        <w:tc>
          <w:tcPr>
            <w:tcW w:w="100" w:type="dxa"/>
            <w:vAlign w:val="bottom"/>
            <w:shd w:val="clear" w:color="auto" w:fill="E20074"/>
          </w:tcPr>
          <w:p>
            <w:pPr>
              <w:spacing w:after="0"/>
              <w:rPr>
                <w:sz w:val="16"/>
                <w:szCs w:val="16"/>
                <w:color w:val="auto"/>
              </w:rPr>
            </w:pPr>
          </w:p>
        </w:tc>
        <w:tc>
          <w:tcPr>
            <w:tcW w:w="920" w:type="dxa"/>
            <w:vAlign w:val="bottom"/>
            <w:shd w:val="clear" w:color="auto" w:fill="E20074"/>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shd w:val="clear" w:color="auto" w:fill="E20074"/>
          </w:tcPr>
          <w:p>
            <w:pPr>
              <w:jc w:val="right"/>
              <w:ind w:right="408"/>
              <w:spacing w:after="0"/>
              <w:rPr>
                <w:sz w:val="20"/>
                <w:szCs w:val="20"/>
                <w:color w:val="auto"/>
              </w:rPr>
            </w:pPr>
            <w:r>
              <w:rPr>
                <w:rFonts w:ascii="Arial" w:cs="Arial" w:eastAsia="Arial" w:hAnsi="Arial"/>
                <w:sz w:val="14"/>
                <w:szCs w:val="14"/>
                <w:b w:val="1"/>
                <w:bCs w:val="1"/>
                <w:color w:val="FFFFFF"/>
              </w:rPr>
              <w:t>September 30,</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churn and ARPA)</w:t>
            </w:r>
          </w:p>
        </w:tc>
        <w:tc>
          <w:tcPr>
            <w:tcW w:w="940" w:type="dxa"/>
            <w:vAlign w:val="bottom"/>
            <w:shd w:val="clear" w:color="auto" w:fill="E20074"/>
          </w:tcPr>
          <w:p>
            <w:pPr>
              <w:jc w:val="right"/>
              <w:ind w:right="128"/>
              <w:spacing w:after="0"/>
              <w:rPr>
                <w:sz w:val="20"/>
                <w:szCs w:val="20"/>
                <w:color w:val="auto"/>
              </w:rPr>
            </w:pPr>
            <w:r>
              <w:rPr>
                <w:rFonts w:ascii="Arial" w:cs="Arial" w:eastAsia="Arial" w:hAnsi="Arial"/>
                <w:sz w:val="14"/>
                <w:szCs w:val="14"/>
                <w:b w:val="1"/>
                <w:bCs w:val="1"/>
                <w:color w:val="FFFFFF"/>
              </w:rPr>
              <w:t>Q3 2026</w:t>
            </w:r>
          </w:p>
        </w:tc>
        <w:tc>
          <w:tcPr>
            <w:tcW w:w="100" w:type="dxa"/>
            <w:vAlign w:val="bottom"/>
          </w:tcPr>
          <w:p>
            <w:pPr>
              <w:spacing w:after="0"/>
              <w:rPr>
                <w:sz w:val="19"/>
                <w:szCs w:val="19"/>
                <w:color w:val="auto"/>
              </w:rPr>
            </w:pPr>
          </w:p>
        </w:tc>
        <w:tc>
          <w:tcPr>
            <w:tcW w:w="940" w:type="dxa"/>
            <w:vAlign w:val="bottom"/>
            <w:shd w:val="clear" w:color="auto" w:fill="E20074"/>
          </w:tcPr>
          <w:p>
            <w:pPr>
              <w:jc w:val="right"/>
              <w:ind w:right="128"/>
              <w:spacing w:after="0"/>
              <w:rPr>
                <w:sz w:val="20"/>
                <w:szCs w:val="20"/>
                <w:color w:val="auto"/>
              </w:rPr>
            </w:pPr>
            <w:r>
              <w:rPr>
                <w:rFonts w:ascii="Arial" w:cs="Arial" w:eastAsia="Arial" w:hAnsi="Arial"/>
                <w:sz w:val="14"/>
                <w:szCs w:val="14"/>
                <w:b w:val="1"/>
                <w:bCs w:val="1"/>
                <w:color w:val="FFFFFF"/>
              </w:rPr>
              <w:t>Q2 2026</w:t>
            </w:r>
          </w:p>
        </w:tc>
        <w:tc>
          <w:tcPr>
            <w:tcW w:w="100" w:type="dxa"/>
            <w:vAlign w:val="bottom"/>
          </w:tcPr>
          <w:p>
            <w:pPr>
              <w:spacing w:after="0"/>
              <w:rPr>
                <w:sz w:val="19"/>
                <w:szCs w:val="19"/>
                <w:color w:val="auto"/>
              </w:rPr>
            </w:pPr>
          </w:p>
        </w:tc>
        <w:tc>
          <w:tcPr>
            <w:tcW w:w="920" w:type="dxa"/>
            <w:vAlign w:val="bottom"/>
            <w:shd w:val="clear" w:color="auto" w:fill="E20074"/>
          </w:tcPr>
          <w:p>
            <w:pPr>
              <w:jc w:val="right"/>
              <w:ind w:right="108"/>
              <w:spacing w:after="0"/>
              <w:rPr>
                <w:sz w:val="20"/>
                <w:szCs w:val="20"/>
                <w:color w:val="auto"/>
              </w:rPr>
            </w:pPr>
            <w:r>
              <w:rPr>
                <w:rFonts w:ascii="Arial" w:cs="Arial" w:eastAsia="Arial" w:hAnsi="Arial"/>
                <w:sz w:val="14"/>
                <w:szCs w:val="14"/>
                <w:b w:val="1"/>
                <w:bCs w:val="1"/>
                <w:color w:val="FFFFFF"/>
              </w:rPr>
              <w:t>Q3 2025</w:t>
            </w:r>
          </w:p>
        </w:tc>
        <w:tc>
          <w:tcPr>
            <w:tcW w:w="100" w:type="dxa"/>
            <w:vAlign w:val="bottom"/>
          </w:tcPr>
          <w:p>
            <w:pPr>
              <w:spacing w:after="0"/>
              <w:rPr>
                <w:sz w:val="19"/>
                <w:szCs w:val="19"/>
                <w:color w:val="auto"/>
              </w:rPr>
            </w:pPr>
          </w:p>
        </w:tc>
        <w:tc>
          <w:tcPr>
            <w:tcW w:w="940" w:type="dxa"/>
            <w:vAlign w:val="bottom"/>
            <w:shd w:val="clear" w:color="auto" w:fill="E20074"/>
          </w:tcPr>
          <w:p>
            <w:pPr>
              <w:jc w:val="right"/>
              <w:ind w:right="248"/>
              <w:spacing w:after="0"/>
              <w:rPr>
                <w:sz w:val="20"/>
                <w:szCs w:val="20"/>
                <w:color w:val="auto"/>
              </w:rPr>
            </w:pPr>
            <w:r>
              <w:rPr>
                <w:rFonts w:ascii="Arial" w:cs="Arial" w:eastAsia="Arial" w:hAnsi="Arial"/>
                <w:sz w:val="14"/>
                <w:szCs w:val="14"/>
                <w:b w:val="1"/>
                <w:bCs w:val="1"/>
                <w:color w:val="FFFFFF"/>
              </w:rPr>
              <w:t>2026</w:t>
            </w:r>
          </w:p>
        </w:tc>
        <w:tc>
          <w:tcPr>
            <w:tcW w:w="80" w:type="dxa"/>
            <w:vAlign w:val="bottom"/>
          </w:tcPr>
          <w:p>
            <w:pPr>
              <w:spacing w:after="0"/>
              <w:rPr>
                <w:sz w:val="19"/>
                <w:szCs w:val="19"/>
                <w:color w:val="auto"/>
              </w:rPr>
            </w:pPr>
          </w:p>
        </w:tc>
        <w:tc>
          <w:tcPr>
            <w:tcW w:w="940" w:type="dxa"/>
            <w:vAlign w:val="bottom"/>
            <w:shd w:val="clear" w:color="auto" w:fill="E20074"/>
          </w:tcPr>
          <w:p>
            <w:pPr>
              <w:jc w:val="right"/>
              <w:ind w:right="228"/>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229"/>
        </w:trPr>
        <w:tc>
          <w:tcPr>
            <w:tcW w:w="6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Postpaid net account additions</w:t>
            </w:r>
          </w:p>
        </w:tc>
        <w:tc>
          <w:tcPr>
            <w:tcW w:w="94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274</w:t>
            </w:r>
          </w:p>
        </w:tc>
        <w:tc>
          <w:tcPr>
            <w:tcW w:w="104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277</w:t>
            </w:r>
          </w:p>
        </w:tc>
        <w:tc>
          <w:tcPr>
            <w:tcW w:w="1020" w:type="dxa"/>
            <w:vAlign w:val="bottom"/>
            <w:gridSpan w:val="2"/>
            <w:shd w:val="clear" w:color="auto" w:fill="DDDDDD"/>
          </w:tcPr>
          <w:p>
            <w:pPr>
              <w:jc w:val="right"/>
              <w:ind w:right="108"/>
              <w:spacing w:after="0"/>
              <w:rPr>
                <w:sz w:val="20"/>
                <w:szCs w:val="20"/>
                <w:color w:val="auto"/>
              </w:rPr>
            </w:pPr>
            <w:r>
              <w:rPr>
                <w:rFonts w:ascii="Arial" w:cs="Arial" w:eastAsia="Arial" w:hAnsi="Arial"/>
                <w:sz w:val="14"/>
                <w:szCs w:val="14"/>
                <w:color w:val="auto"/>
              </w:rPr>
              <w:t>396</w:t>
            </w:r>
          </w:p>
        </w:tc>
        <w:tc>
          <w:tcPr>
            <w:tcW w:w="104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768</w:t>
            </w:r>
          </w:p>
        </w:tc>
        <w:tc>
          <w:tcPr>
            <w:tcW w:w="102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4"/>
                <w:szCs w:val="14"/>
                <w:color w:val="auto"/>
              </w:rPr>
              <w:t xml:space="preserve">Total postpaid accounts, end of period </w:t>
            </w:r>
            <w:r>
              <w:rPr>
                <w:rFonts w:ascii="Arial" w:cs="Arial" w:eastAsia="Arial" w:hAnsi="Arial"/>
                <w:sz w:val="18"/>
                <w:szCs w:val="18"/>
                <w:color w:val="auto"/>
                <w:vertAlign w:val="superscript"/>
              </w:rPr>
              <w:t>(1)(2)(3)(4)(5)</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34,974</w:t>
            </w:r>
          </w:p>
        </w:tc>
        <w:tc>
          <w:tcPr>
            <w:tcW w:w="1040" w:type="dxa"/>
            <w:vAlign w:val="bottom"/>
            <w:gridSpan w:val="2"/>
          </w:tcPr>
          <w:p>
            <w:pPr>
              <w:jc w:val="right"/>
              <w:ind w:right="128"/>
              <w:spacing w:after="0"/>
              <w:rPr>
                <w:sz w:val="20"/>
                <w:szCs w:val="20"/>
                <w:color w:val="auto"/>
              </w:rPr>
            </w:pPr>
            <w:r>
              <w:rPr>
                <w:rFonts w:ascii="Arial" w:cs="Arial" w:eastAsia="Arial" w:hAnsi="Arial"/>
                <w:sz w:val="14"/>
                <w:szCs w:val="14"/>
                <w:color w:val="auto"/>
              </w:rPr>
              <w:t>34,700</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33,979</w:t>
            </w:r>
          </w:p>
        </w:tc>
        <w:tc>
          <w:tcPr>
            <w:tcW w:w="1040" w:type="dxa"/>
            <w:vAlign w:val="bottom"/>
            <w:gridSpan w:val="2"/>
          </w:tcPr>
          <w:p>
            <w:pPr>
              <w:jc w:val="right"/>
              <w:ind w:right="128"/>
              <w:spacing w:after="0"/>
              <w:rPr>
                <w:sz w:val="20"/>
                <w:szCs w:val="20"/>
                <w:color w:val="auto"/>
              </w:rPr>
            </w:pPr>
            <w:r>
              <w:rPr>
                <w:rFonts w:ascii="Arial" w:cs="Arial" w:eastAsia="Arial" w:hAnsi="Arial"/>
                <w:sz w:val="14"/>
                <w:szCs w:val="14"/>
                <w:color w:val="auto"/>
              </w:rPr>
              <w:t>34,974</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color w:val="auto"/>
              </w:rPr>
              <w:t>33,979</w:t>
            </w:r>
          </w:p>
        </w:tc>
        <w:tc>
          <w:tcPr>
            <w:tcW w:w="0" w:type="dxa"/>
            <w:vAlign w:val="bottom"/>
          </w:tcPr>
          <w:p>
            <w:pPr>
              <w:spacing w:after="0"/>
              <w:rPr>
                <w:sz w:val="1"/>
                <w:szCs w:val="1"/>
                <w:color w:val="auto"/>
              </w:rPr>
            </w:pPr>
          </w:p>
        </w:tc>
      </w:tr>
      <w:tr>
        <w:trPr>
          <w:trHeight w:val="216"/>
        </w:trPr>
        <w:tc>
          <w:tcPr>
            <w:tcW w:w="6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Postpaid account churn</w:t>
            </w:r>
          </w:p>
        </w:tc>
        <w:tc>
          <w:tcPr>
            <w:tcW w:w="9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1.09 %</w:t>
            </w:r>
          </w:p>
        </w:tc>
        <w:tc>
          <w:tcPr>
            <w:tcW w:w="104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0.99 %</w:t>
            </w:r>
          </w:p>
        </w:tc>
        <w:tc>
          <w:tcPr>
            <w:tcW w:w="102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0.97 %</w:t>
            </w:r>
          </w:p>
        </w:tc>
        <w:tc>
          <w:tcPr>
            <w:tcW w:w="104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1.04 %</w:t>
            </w:r>
          </w:p>
        </w:tc>
        <w:tc>
          <w:tcPr>
            <w:tcW w:w="102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0.94 %</w:t>
            </w:r>
          </w:p>
        </w:tc>
        <w:tc>
          <w:tcPr>
            <w:tcW w:w="0" w:type="dxa"/>
            <w:vAlign w:val="bottom"/>
          </w:tcPr>
          <w:p>
            <w:pPr>
              <w:spacing w:after="0"/>
              <w:rPr>
                <w:sz w:val="1"/>
                <w:szCs w:val="1"/>
                <w:color w:val="auto"/>
              </w:rPr>
            </w:pPr>
          </w:p>
        </w:tc>
      </w:tr>
      <w:tr>
        <w:trPr>
          <w:trHeight w:val="208"/>
        </w:trPr>
        <w:tc>
          <w:tcPr>
            <w:tcW w:w="6160" w:type="dxa"/>
            <w:vAlign w:val="bottom"/>
          </w:tcPr>
          <w:p>
            <w:pPr>
              <w:ind w:left="20"/>
              <w:spacing w:after="0"/>
              <w:rPr>
                <w:sz w:val="20"/>
                <w:szCs w:val="20"/>
                <w:color w:val="auto"/>
              </w:rPr>
            </w:pPr>
            <w:r>
              <w:rPr>
                <w:rFonts w:ascii="Arial" w:cs="Arial" w:eastAsia="Arial" w:hAnsi="Arial"/>
                <w:sz w:val="14"/>
                <w:szCs w:val="14"/>
                <w:color w:val="auto"/>
              </w:rPr>
              <w:t>Postpaid ARPA</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   155.73</w:t>
            </w:r>
          </w:p>
        </w:tc>
        <w:tc>
          <w:tcPr>
            <w:tcW w:w="1040" w:type="dxa"/>
            <w:vAlign w:val="bottom"/>
            <w:gridSpan w:val="2"/>
          </w:tcPr>
          <w:p>
            <w:pPr>
              <w:jc w:val="right"/>
              <w:ind w:right="128"/>
              <w:spacing w:after="0"/>
              <w:rPr>
                <w:sz w:val="20"/>
                <w:szCs w:val="20"/>
                <w:color w:val="auto"/>
              </w:rPr>
            </w:pPr>
            <w:r>
              <w:rPr>
                <w:rFonts w:ascii="Arial" w:cs="Arial" w:eastAsia="Arial" w:hAnsi="Arial"/>
                <w:sz w:val="14"/>
                <w:szCs w:val="14"/>
                <w:color w:val="auto"/>
              </w:rPr>
              <w:t>$   152.91</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   149.44</w:t>
            </w:r>
          </w:p>
        </w:tc>
        <w:tc>
          <w:tcPr>
            <w:tcW w:w="1040" w:type="dxa"/>
            <w:vAlign w:val="bottom"/>
            <w:gridSpan w:val="2"/>
          </w:tcPr>
          <w:p>
            <w:pPr>
              <w:jc w:val="right"/>
              <w:ind w:right="128"/>
              <w:spacing w:after="0"/>
              <w:rPr>
                <w:sz w:val="20"/>
                <w:szCs w:val="20"/>
                <w:color w:val="auto"/>
              </w:rPr>
            </w:pPr>
            <w:r>
              <w:rPr>
                <w:rFonts w:ascii="Arial" w:cs="Arial" w:eastAsia="Arial" w:hAnsi="Arial"/>
                <w:sz w:val="14"/>
                <w:szCs w:val="14"/>
                <w:color w:val="auto"/>
              </w:rPr>
              <w:t>$   153.53</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color w:val="auto"/>
              </w:rPr>
              <w:t>$   148.54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the second quarter of 2026, Metronet agreed to repurchase certain customer accounts, resulting in a base adjustment to decrease postpaid accounts by 16,000.</w:t>
      </w:r>
    </w:p>
    <w:p>
      <w:pPr>
        <w:spacing w:after="0" w:line="15" w:lineRule="exact"/>
        <w:rPr>
          <w:rFonts w:ascii="Arial" w:cs="Arial" w:eastAsia="Arial" w:hAnsi="Arial"/>
          <w:sz w:val="11"/>
          <w:szCs w:val="11"/>
          <w:color w:val="auto"/>
        </w:rPr>
      </w:pP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the first quarter of 2026, we recognized a base adjustment to decrease postpaid accounts by 18,000, primarily due to combining certain business accounts that have multiple billing account numbers.</w:t>
      </w:r>
    </w:p>
    <w:p>
      <w:pPr>
        <w:spacing w:after="0" w:line="8" w:lineRule="exact"/>
        <w:rPr>
          <w:rFonts w:ascii="Arial" w:cs="Arial" w:eastAsia="Arial" w:hAnsi="Arial"/>
          <w:sz w:val="11"/>
          <w:szCs w:val="11"/>
          <w:color w:val="auto"/>
        </w:rPr>
      </w:pPr>
    </w:p>
    <w:p>
      <w:pPr>
        <w:ind w:left="320" w:hanging="312"/>
        <w:spacing w:after="0" w:line="236" w:lineRule="auto"/>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the third quarter of 2025, we acquired 1,448,000 postpaid accounts through the UScellular acquisition, which includes the impact of certain base adjustments to align the policies of UScellular and T-Mobile.</w:t>
      </w: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the third quarter of 2025, we acquired 633,000 postpaid accounts from Metronet and other acquisitions.</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the second quarter of 2025, we acquired 85,000 postpaid accounts from Lumos.</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These base adjustments had no impact on postpaid net account additions.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Translating Strong Account Growth into Durable and Profitable Financial Growth</w:t>
      </w:r>
    </w:p>
    <w:p>
      <w:pPr>
        <w:spacing w:after="0" w:line="117" w:lineRule="exact"/>
        <w:rPr>
          <w:sz w:val="20"/>
          <w:szCs w:val="20"/>
          <w:color w:val="auto"/>
        </w:rPr>
      </w:pPr>
    </w:p>
    <w:p>
      <w:pPr>
        <w:ind w:left="340" w:hanging="332"/>
        <w:spacing w:after="0" w:line="272"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Total service revenues </w:t>
      </w:r>
      <w:r>
        <w:rPr>
          <w:rFonts w:ascii="Arial" w:cs="Arial" w:eastAsia="Arial" w:hAnsi="Arial"/>
          <w:sz w:val="18"/>
          <w:szCs w:val="18"/>
          <w:color w:val="auto"/>
        </w:rPr>
        <w:t>increased 6% year-over-year to $19.4 billion, and Postpaid service revenues increased 9% year-over-year to</w:t>
      </w:r>
      <w:r>
        <w:rPr>
          <w:rFonts w:ascii="Arial" w:cs="Arial" w:eastAsia="Arial" w:hAnsi="Arial"/>
          <w:sz w:val="18"/>
          <w:szCs w:val="18"/>
          <w:b w:val="1"/>
          <w:bCs w:val="1"/>
          <w:color w:val="auto"/>
        </w:rPr>
        <w:t xml:space="preserve"> </w:t>
      </w:r>
      <w:r>
        <w:rPr>
          <w:rFonts w:ascii="Arial" w:cs="Arial" w:eastAsia="Arial" w:hAnsi="Arial"/>
          <w:sz w:val="18"/>
          <w:szCs w:val="18"/>
          <w:color w:val="auto"/>
        </w:rPr>
        <w:t>$16.3 billion.</w:t>
      </w:r>
    </w:p>
    <w:p>
      <w:pPr>
        <w:spacing w:after="0" w:line="17"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increased 27% year-over-year to $3.5 billion.</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increased 34% year-over-year to $3.22 per share.</w:t>
      </w:r>
    </w:p>
    <w:p>
      <w:pPr>
        <w:spacing w:after="0" w:line="67"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Core Adjusted EBITDA </w:t>
      </w:r>
      <w:r>
        <w:rPr>
          <w:rFonts w:ascii="Arial" w:cs="Arial" w:eastAsia="Arial" w:hAnsi="Arial"/>
          <w:sz w:val="18"/>
          <w:szCs w:val="18"/>
          <w:color w:val="auto"/>
        </w:rPr>
        <w:t>increased 11% year-over-year to $9.6 billion.</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decreased 2% year-over-year to $7.3 billion.</w:t>
      </w:r>
    </w:p>
    <w:p>
      <w:pPr>
        <w:spacing w:after="0" w:line="67"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Cash purchases of property and equipment, including capitalized interest, </w:t>
      </w:r>
      <w:r>
        <w:rPr>
          <w:rFonts w:ascii="Arial" w:cs="Arial" w:eastAsia="Arial" w:hAnsi="Arial"/>
          <w:sz w:val="18"/>
          <w:szCs w:val="18"/>
          <w:color w:val="auto"/>
        </w:rPr>
        <w:t>decreased 14% year-over-year to $2.3 billion.</w:t>
      </w:r>
    </w:p>
    <w:p>
      <w:pPr>
        <w:spacing w:after="0" w:line="67"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Adjusted Free Cash Flow </w:t>
      </w:r>
      <w:r>
        <w:rPr>
          <w:rFonts w:ascii="Arial" w:cs="Arial" w:eastAsia="Arial" w:hAnsi="Arial"/>
          <w:sz w:val="18"/>
          <w:szCs w:val="18"/>
          <w:color w:val="auto"/>
        </w:rPr>
        <w:t>increased 5% year-over-year to $5.1 billion.</w:t>
      </w:r>
    </w:p>
    <w:p>
      <w:pPr>
        <w:spacing w:after="0" w:line="53" w:lineRule="exact"/>
        <w:rPr>
          <w:rFonts w:ascii="Arial" w:cs="Arial" w:eastAsia="Arial" w:hAnsi="Arial"/>
          <w:sz w:val="20"/>
          <w:szCs w:val="20"/>
          <w:color w:val="auto"/>
        </w:rPr>
      </w:pPr>
    </w:p>
    <w:p>
      <w:pPr>
        <w:jc w:val="both"/>
        <w:ind w:left="340" w:hanging="332"/>
        <w:spacing w:after="0" w:line="264"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 xml:space="preserve">Stockholder Returns </w:t>
      </w:r>
      <w:r>
        <w:rPr>
          <w:rFonts w:ascii="Arial" w:cs="Arial" w:eastAsia="Arial" w:hAnsi="Arial"/>
          <w:sz w:val="18"/>
          <w:szCs w:val="18"/>
          <w:color w:val="auto"/>
        </w:rPr>
        <w:t>of $3.5 billion in Q3 2026, including common stock repurchases of $2.4 billion and cash dividends of $1.1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the current stockholder return authorization of up to $18.2 billion through December 31, 2026, for cumulative stockholder returns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$58.1 billion since program inception, split across stock repurchases of $46.7 billion and cash dividends of $11.5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182245</wp:posOffset>
            </wp:positionV>
            <wp:extent cx="712343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531495"/>
                    </a:xfrm>
                    <a:prstGeom prst="rect">
                      <a:avLst/>
                    </a:prstGeom>
                    <a:noFill/>
                  </pic:spPr>
                </pic:pic>
              </a:graphicData>
            </a:graphic>
          </wp:anchor>
        </w:drawing>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820" w:type="dxa"/>
            <w:vAlign w:val="bottom"/>
            <w:shd w:val="clear" w:color="auto" w:fill="E20074"/>
          </w:tcPr>
          <w:p>
            <w:pPr>
              <w:spacing w:after="0"/>
              <w:rPr>
                <w:sz w:val="18"/>
                <w:szCs w:val="18"/>
                <w:color w:val="auto"/>
              </w:rPr>
            </w:pPr>
          </w:p>
        </w:tc>
        <w:tc>
          <w:tcPr>
            <w:tcW w:w="100" w:type="dxa"/>
            <w:vAlign w:val="bottom"/>
            <w:shd w:val="clear" w:color="auto" w:fill="E20074"/>
          </w:tcPr>
          <w:p>
            <w:pPr>
              <w:spacing w:after="0"/>
              <w:rPr>
                <w:sz w:val="18"/>
                <w:szCs w:val="18"/>
                <w:color w:val="auto"/>
              </w:rPr>
            </w:pPr>
          </w:p>
        </w:tc>
        <w:tc>
          <w:tcPr>
            <w:tcW w:w="820" w:type="dxa"/>
            <w:vAlign w:val="bottom"/>
            <w:vMerge w:val="restart"/>
            <w:shd w:val="clear" w:color="auto" w:fill="E20074"/>
          </w:tcPr>
          <w:p>
            <w:pPr>
              <w:jc w:val="right"/>
              <w:ind w:right="88"/>
              <w:spacing w:after="0"/>
              <w:rPr>
                <w:sz w:val="20"/>
                <w:szCs w:val="20"/>
                <w:color w:val="auto"/>
              </w:rPr>
            </w:pPr>
            <w:r>
              <w:rPr>
                <w:rFonts w:ascii="Arial" w:cs="Arial" w:eastAsia="Arial" w:hAnsi="Arial"/>
                <w:sz w:val="14"/>
                <w:szCs w:val="14"/>
                <w:b w:val="1"/>
                <w:bCs w:val="1"/>
                <w:color w:val="FFFFFF"/>
              </w:rPr>
              <w:t>Quarter</w:t>
            </w:r>
          </w:p>
        </w:tc>
        <w:tc>
          <w:tcPr>
            <w:tcW w:w="80" w:type="dxa"/>
            <w:vAlign w:val="bottom"/>
            <w:shd w:val="clear" w:color="auto" w:fill="E20074"/>
          </w:tcPr>
          <w:p>
            <w:pPr>
              <w:spacing w:after="0"/>
              <w:rPr>
                <w:sz w:val="18"/>
                <w:szCs w:val="18"/>
                <w:color w:val="auto"/>
              </w:rPr>
            </w:pPr>
          </w:p>
        </w:tc>
        <w:tc>
          <w:tcPr>
            <w:tcW w:w="840" w:type="dxa"/>
            <w:vAlign w:val="bottom"/>
            <w:shd w:val="clear" w:color="auto" w:fill="E20074"/>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shd w:val="clear" w:color="auto" w:fill="E20074"/>
          </w:tcPr>
          <w:p>
            <w:pPr>
              <w:spacing w:after="0"/>
              <w:rPr>
                <w:sz w:val="18"/>
                <w:szCs w:val="18"/>
                <w:color w:val="auto"/>
              </w:rPr>
            </w:pPr>
          </w:p>
        </w:tc>
        <w:tc>
          <w:tcPr>
            <w:tcW w:w="1580" w:type="dxa"/>
            <w:vAlign w:val="bottom"/>
            <w:gridSpan w:val="4"/>
            <w:shd w:val="clear" w:color="auto" w:fill="E20074"/>
          </w:tcPr>
          <w:p>
            <w:pPr>
              <w:jc w:val="right"/>
              <w:ind w:right="108"/>
              <w:spacing w:after="0"/>
              <w:rPr>
                <w:sz w:val="20"/>
                <w:szCs w:val="20"/>
                <w:color w:val="auto"/>
              </w:rPr>
            </w:pPr>
            <w:r>
              <w:rPr>
                <w:rFonts w:ascii="Arial" w:cs="Arial" w:eastAsia="Arial" w:hAnsi="Arial"/>
                <w:sz w:val="14"/>
                <w:szCs w:val="14"/>
                <w:b w:val="1"/>
                <w:bCs w:val="1"/>
                <w:color w:val="FFFFFF"/>
              </w:rPr>
              <w:t>Nine Months Ended</w:t>
            </w:r>
          </w:p>
        </w:tc>
        <w:tc>
          <w:tcPr>
            <w:tcW w:w="100" w:type="dxa"/>
            <w:vAlign w:val="bottom"/>
          </w:tcPr>
          <w:p>
            <w:pPr>
              <w:spacing w:after="0"/>
              <w:rPr>
                <w:sz w:val="18"/>
                <w:szCs w:val="18"/>
                <w:color w:val="auto"/>
              </w:rPr>
            </w:pPr>
          </w:p>
        </w:tc>
        <w:tc>
          <w:tcPr>
            <w:tcW w:w="940" w:type="dxa"/>
            <w:vAlign w:val="bottom"/>
            <w:shd w:val="clear" w:color="auto" w:fill="E20074"/>
          </w:tcPr>
          <w:p>
            <w:pPr>
              <w:jc w:val="right"/>
              <w:ind w:right="108"/>
              <w:spacing w:after="0"/>
              <w:rPr>
                <w:sz w:val="20"/>
                <w:szCs w:val="20"/>
                <w:color w:val="auto"/>
              </w:rPr>
            </w:pPr>
            <w:r>
              <w:rPr>
                <w:rFonts w:ascii="Arial" w:cs="Arial" w:eastAsia="Arial" w:hAnsi="Arial"/>
                <w:sz w:val="14"/>
                <w:szCs w:val="14"/>
                <w:b w:val="1"/>
                <w:bCs w:val="1"/>
                <w:color w:val="FFFFFF"/>
              </w:rPr>
              <w:t>Q3 2026</w:t>
            </w:r>
          </w:p>
        </w:tc>
        <w:tc>
          <w:tcPr>
            <w:tcW w:w="80" w:type="dxa"/>
            <w:vAlign w:val="bottom"/>
          </w:tcPr>
          <w:p>
            <w:pPr>
              <w:spacing w:after="0"/>
              <w:rPr>
                <w:sz w:val="18"/>
                <w:szCs w:val="18"/>
                <w:color w:val="auto"/>
              </w:rPr>
            </w:pPr>
          </w:p>
        </w:tc>
        <w:tc>
          <w:tcPr>
            <w:tcW w:w="940" w:type="dxa"/>
            <w:vAlign w:val="bottom"/>
            <w:shd w:val="clear" w:color="auto" w:fill="E20074"/>
          </w:tcPr>
          <w:p>
            <w:pPr>
              <w:jc w:val="right"/>
              <w:ind w:right="108"/>
              <w:spacing w:after="0"/>
              <w:rPr>
                <w:sz w:val="20"/>
                <w:szCs w:val="20"/>
                <w:color w:val="auto"/>
              </w:rPr>
            </w:pPr>
            <w:r>
              <w:rPr>
                <w:rFonts w:ascii="Arial" w:cs="Arial" w:eastAsia="Arial" w:hAnsi="Arial"/>
                <w:sz w:val="14"/>
                <w:szCs w:val="14"/>
                <w:b w:val="1"/>
                <w:bCs w:val="1"/>
                <w:color w:val="FFFFFF"/>
              </w:rPr>
              <w:t>Q3 2026</w:t>
            </w:r>
          </w:p>
        </w:tc>
        <w:tc>
          <w:tcPr>
            <w:tcW w:w="100" w:type="dxa"/>
            <w:vAlign w:val="bottom"/>
          </w:tcPr>
          <w:p>
            <w:pPr>
              <w:spacing w:after="0"/>
              <w:rPr>
                <w:sz w:val="18"/>
                <w:szCs w:val="18"/>
                <w:color w:val="auto"/>
              </w:rPr>
            </w:pPr>
          </w:p>
        </w:tc>
        <w:tc>
          <w:tcPr>
            <w:tcW w:w="920" w:type="dxa"/>
            <w:vAlign w:val="bottom"/>
            <w:shd w:val="clear" w:color="auto" w:fill="E20074"/>
          </w:tcPr>
          <w:p>
            <w:pPr>
              <w:jc w:val="center"/>
              <w:spacing w:after="0"/>
              <w:rPr>
                <w:sz w:val="20"/>
                <w:szCs w:val="20"/>
                <w:color w:val="auto"/>
              </w:rPr>
            </w:pPr>
            <w:r>
              <w:rPr>
                <w:rFonts w:ascii="Arial" w:cs="Arial" w:eastAsia="Arial" w:hAnsi="Arial"/>
                <w:sz w:val="14"/>
                <w:szCs w:val="14"/>
                <w:b w:val="1"/>
                <w:bCs w:val="1"/>
                <w:color w:val="FFFFFF"/>
              </w:rPr>
              <w:t>YTD 2026</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820" w:type="dxa"/>
            <w:vAlign w:val="bottom"/>
            <w:tcBorders>
              <w:bottom w:val="single" w:sz="8" w:color="E20074"/>
            </w:tcBorders>
            <w:shd w:val="clear" w:color="auto" w:fill="E20074"/>
          </w:tcPr>
          <w:p>
            <w:pPr>
              <w:spacing w:after="0"/>
              <w:rPr>
                <w:sz w:val="12"/>
                <w:szCs w:val="12"/>
                <w:color w:val="auto"/>
              </w:rPr>
            </w:pPr>
          </w:p>
        </w:tc>
        <w:tc>
          <w:tcPr>
            <w:tcW w:w="100" w:type="dxa"/>
            <w:vAlign w:val="bottom"/>
            <w:tcBorders>
              <w:bottom w:val="single" w:sz="8" w:color="E20074"/>
            </w:tcBorders>
            <w:shd w:val="clear" w:color="auto" w:fill="E20074"/>
          </w:tcPr>
          <w:p>
            <w:pPr>
              <w:spacing w:after="0"/>
              <w:rPr>
                <w:sz w:val="12"/>
                <w:szCs w:val="12"/>
                <w:color w:val="auto"/>
              </w:rPr>
            </w:pPr>
          </w:p>
        </w:tc>
        <w:tc>
          <w:tcPr>
            <w:tcW w:w="820" w:type="dxa"/>
            <w:vAlign w:val="bottom"/>
            <w:tcBorders>
              <w:bottom w:val="single" w:sz="8" w:color="E20074"/>
            </w:tcBorders>
            <w:vMerge w:val="continue"/>
            <w:shd w:val="clear" w:color="auto" w:fill="E20074"/>
          </w:tcPr>
          <w:p>
            <w:pPr>
              <w:spacing w:after="0"/>
              <w:rPr>
                <w:sz w:val="12"/>
                <w:szCs w:val="12"/>
                <w:color w:val="auto"/>
              </w:rPr>
            </w:pPr>
          </w:p>
        </w:tc>
        <w:tc>
          <w:tcPr>
            <w:tcW w:w="80" w:type="dxa"/>
            <w:vAlign w:val="bottom"/>
            <w:tcBorders>
              <w:bottom w:val="single" w:sz="8" w:color="E20074"/>
            </w:tcBorders>
            <w:shd w:val="clear" w:color="auto" w:fill="E20074"/>
          </w:tcPr>
          <w:p>
            <w:pPr>
              <w:spacing w:after="0"/>
              <w:rPr>
                <w:sz w:val="12"/>
                <w:szCs w:val="12"/>
                <w:color w:val="auto"/>
              </w:rPr>
            </w:pPr>
          </w:p>
        </w:tc>
        <w:tc>
          <w:tcPr>
            <w:tcW w:w="840" w:type="dxa"/>
            <w:vAlign w:val="bottom"/>
            <w:tcBorders>
              <w:bottom w:val="single" w:sz="8" w:color="E20074"/>
            </w:tcBorders>
            <w:shd w:val="clear" w:color="auto" w:fill="E20074"/>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E20074"/>
            </w:tcBorders>
            <w:shd w:val="clear" w:color="auto" w:fill="E20074"/>
          </w:tcPr>
          <w:p>
            <w:pPr>
              <w:spacing w:after="0"/>
              <w:rPr>
                <w:sz w:val="12"/>
                <w:szCs w:val="12"/>
                <w:color w:val="auto"/>
              </w:rPr>
            </w:pPr>
          </w:p>
        </w:tc>
        <w:tc>
          <w:tcPr>
            <w:tcW w:w="1580" w:type="dxa"/>
            <w:vAlign w:val="bottom"/>
            <w:tcBorders>
              <w:bottom w:val="single" w:sz="8" w:color="E20074"/>
            </w:tcBorders>
            <w:gridSpan w:val="4"/>
            <w:shd w:val="clear" w:color="auto" w:fill="E20074"/>
          </w:tcPr>
          <w:p>
            <w:pPr>
              <w:jc w:val="right"/>
              <w:ind w:right="288"/>
              <w:spacing w:after="0" w:line="139" w:lineRule="exact"/>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2"/>
                <w:szCs w:val="12"/>
                <w:color w:val="auto"/>
              </w:rPr>
            </w:pPr>
          </w:p>
        </w:tc>
        <w:tc>
          <w:tcPr>
            <w:tcW w:w="940" w:type="dxa"/>
            <w:vAlign w:val="bottom"/>
            <w:tcBorders>
              <w:bottom w:val="single" w:sz="8" w:color="E20074"/>
            </w:tcBorders>
            <w:shd w:val="clear" w:color="auto" w:fill="E20074"/>
          </w:tcPr>
          <w:p>
            <w:pPr>
              <w:jc w:val="right"/>
              <w:ind w:right="288"/>
              <w:spacing w:after="0" w:line="139" w:lineRule="exact"/>
              <w:rPr>
                <w:sz w:val="20"/>
                <w:szCs w:val="20"/>
                <w:color w:val="auto"/>
              </w:rPr>
            </w:pPr>
            <w:r>
              <w:rPr>
                <w:rFonts w:ascii="Arial" w:cs="Arial" w:eastAsia="Arial" w:hAnsi="Arial"/>
                <w:sz w:val="14"/>
                <w:szCs w:val="14"/>
                <w:b w:val="1"/>
                <w:bCs w:val="1"/>
                <w:color w:val="FFFFFF"/>
              </w:rPr>
              <w:t>vs.</w:t>
            </w:r>
          </w:p>
        </w:tc>
        <w:tc>
          <w:tcPr>
            <w:tcW w:w="80" w:type="dxa"/>
            <w:vAlign w:val="bottom"/>
          </w:tcPr>
          <w:p>
            <w:pPr>
              <w:spacing w:after="0"/>
              <w:rPr>
                <w:sz w:val="12"/>
                <w:szCs w:val="12"/>
                <w:color w:val="auto"/>
              </w:rPr>
            </w:pPr>
          </w:p>
        </w:tc>
        <w:tc>
          <w:tcPr>
            <w:tcW w:w="940" w:type="dxa"/>
            <w:vAlign w:val="bottom"/>
            <w:tcBorders>
              <w:bottom w:val="single" w:sz="8" w:color="E20074"/>
            </w:tcBorders>
            <w:shd w:val="clear" w:color="auto" w:fill="E20074"/>
          </w:tcPr>
          <w:p>
            <w:pPr>
              <w:jc w:val="right"/>
              <w:ind w:right="288"/>
              <w:spacing w:after="0" w:line="139" w:lineRule="exact"/>
              <w:rPr>
                <w:sz w:val="20"/>
                <w:szCs w:val="20"/>
                <w:color w:val="auto"/>
              </w:rPr>
            </w:pPr>
            <w:r>
              <w:rPr>
                <w:rFonts w:ascii="Arial" w:cs="Arial" w:eastAsia="Arial" w:hAnsi="Arial"/>
                <w:sz w:val="14"/>
                <w:szCs w:val="14"/>
                <w:b w:val="1"/>
                <w:bCs w:val="1"/>
                <w:color w:val="FFFFFF"/>
              </w:rPr>
              <w:t>vs.</w:t>
            </w:r>
          </w:p>
        </w:tc>
        <w:tc>
          <w:tcPr>
            <w:tcW w:w="100" w:type="dxa"/>
            <w:vAlign w:val="bottom"/>
          </w:tcPr>
          <w:p>
            <w:pPr>
              <w:spacing w:after="0"/>
              <w:rPr>
                <w:sz w:val="12"/>
                <w:szCs w:val="12"/>
                <w:color w:val="auto"/>
              </w:rPr>
            </w:pPr>
          </w:p>
        </w:tc>
        <w:tc>
          <w:tcPr>
            <w:tcW w:w="920" w:type="dxa"/>
            <w:vAlign w:val="bottom"/>
            <w:tcBorders>
              <w:bottom w:val="single" w:sz="8" w:color="E20074"/>
            </w:tcBorders>
            <w:shd w:val="clear" w:color="auto" w:fill="E20074"/>
          </w:tcPr>
          <w:p>
            <w:pPr>
              <w:jc w:val="center"/>
              <w:spacing w:after="0" w:line="139" w:lineRule="exact"/>
              <w:rPr>
                <w:sz w:val="20"/>
                <w:szCs w:val="20"/>
                <w:color w:val="auto"/>
              </w:rPr>
            </w:pPr>
            <w:r>
              <w:rPr>
                <w:rFonts w:ascii="Arial" w:cs="Arial" w:eastAsia="Arial" w:hAnsi="Arial"/>
                <w:sz w:val="14"/>
                <w:szCs w:val="14"/>
                <w:b w:val="1"/>
                <w:bCs w:val="1"/>
                <w:color w:val="FFFFFF"/>
              </w:rPr>
              <w:t>vs.</w:t>
            </w:r>
          </w:p>
        </w:tc>
        <w:tc>
          <w:tcPr>
            <w:tcW w:w="0" w:type="dxa"/>
            <w:vAlign w:val="bottom"/>
          </w:tcPr>
          <w:p>
            <w:pPr>
              <w:spacing w:after="0"/>
              <w:rPr>
                <w:sz w:val="1"/>
                <w:szCs w:val="1"/>
                <w:color w:val="auto"/>
              </w:rPr>
            </w:pPr>
          </w:p>
        </w:tc>
      </w:tr>
      <w:tr>
        <w:trPr>
          <w:trHeight w:val="210"/>
        </w:trPr>
        <w:tc>
          <w:tcPr>
            <w:tcW w:w="36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EPS)</w:t>
            </w:r>
          </w:p>
        </w:tc>
        <w:tc>
          <w:tcPr>
            <w:tcW w:w="820" w:type="dxa"/>
            <w:vAlign w:val="bottom"/>
            <w:tcBorders>
              <w:bottom w:val="single" w:sz="8" w:color="E20074"/>
            </w:tcBorders>
            <w:shd w:val="clear" w:color="auto" w:fill="E20074"/>
          </w:tcPr>
          <w:p>
            <w:pPr>
              <w:jc w:val="right"/>
              <w:ind w:right="68"/>
              <w:spacing w:after="0"/>
              <w:rPr>
                <w:sz w:val="20"/>
                <w:szCs w:val="20"/>
                <w:color w:val="auto"/>
              </w:rPr>
            </w:pPr>
            <w:r>
              <w:rPr>
                <w:rFonts w:ascii="Arial" w:cs="Arial" w:eastAsia="Arial" w:hAnsi="Arial"/>
                <w:sz w:val="14"/>
                <w:szCs w:val="14"/>
                <w:b w:val="1"/>
                <w:bCs w:val="1"/>
                <w:color w:val="FFFFFF"/>
              </w:rPr>
              <w:t>Q3 2026</w:t>
            </w:r>
          </w:p>
        </w:tc>
        <w:tc>
          <w:tcPr>
            <w:tcW w:w="10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jc w:val="right"/>
              <w:ind w:right="68"/>
              <w:spacing w:after="0"/>
              <w:rPr>
                <w:sz w:val="20"/>
                <w:szCs w:val="20"/>
                <w:color w:val="auto"/>
              </w:rPr>
            </w:pPr>
            <w:r>
              <w:rPr>
                <w:rFonts w:ascii="Arial" w:cs="Arial" w:eastAsia="Arial" w:hAnsi="Arial"/>
                <w:sz w:val="14"/>
                <w:szCs w:val="14"/>
                <w:b w:val="1"/>
                <w:bCs w:val="1"/>
                <w:color w:val="FFFFFF"/>
              </w:rPr>
              <w:t>Q2 2026</w:t>
            </w:r>
          </w:p>
        </w:tc>
        <w:tc>
          <w:tcPr>
            <w:tcW w:w="80" w:type="dxa"/>
            <w:vAlign w:val="bottom"/>
          </w:tcPr>
          <w:p>
            <w:pPr>
              <w:spacing w:after="0"/>
              <w:rPr>
                <w:sz w:val="18"/>
                <w:szCs w:val="18"/>
                <w:color w:val="auto"/>
              </w:rPr>
            </w:pPr>
          </w:p>
        </w:tc>
        <w:tc>
          <w:tcPr>
            <w:tcW w:w="840" w:type="dxa"/>
            <w:vAlign w:val="bottom"/>
            <w:tcBorders>
              <w:bottom w:val="single" w:sz="8" w:color="E20074"/>
            </w:tcBorders>
            <w:shd w:val="clear" w:color="auto" w:fill="E20074"/>
          </w:tcPr>
          <w:p>
            <w:pPr>
              <w:jc w:val="right"/>
              <w:ind w:right="68"/>
              <w:spacing w:after="0"/>
              <w:rPr>
                <w:sz w:val="20"/>
                <w:szCs w:val="20"/>
                <w:color w:val="auto"/>
              </w:rPr>
            </w:pPr>
            <w:r>
              <w:rPr>
                <w:rFonts w:ascii="Arial" w:cs="Arial" w:eastAsia="Arial" w:hAnsi="Arial"/>
                <w:sz w:val="14"/>
                <w:szCs w:val="14"/>
                <w:b w:val="1"/>
                <w:bCs w:val="1"/>
                <w:color w:val="FFFFFF"/>
              </w:rPr>
              <w:t>Q3 2025</w:t>
            </w:r>
          </w:p>
        </w:tc>
        <w:tc>
          <w:tcPr>
            <w:tcW w:w="80" w:type="dxa"/>
            <w:vAlign w:val="bottom"/>
          </w:tcPr>
          <w:p>
            <w:pPr>
              <w:spacing w:after="0"/>
              <w:rPr>
                <w:sz w:val="18"/>
                <w:szCs w:val="18"/>
                <w:color w:val="auto"/>
              </w:rPr>
            </w:pPr>
          </w:p>
        </w:tc>
        <w:tc>
          <w:tcPr>
            <w:tcW w:w="16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188"/>
              <w:spacing w:after="0"/>
              <w:rPr>
                <w:sz w:val="20"/>
                <w:szCs w:val="20"/>
                <w:color w:val="auto"/>
              </w:rPr>
            </w:pPr>
            <w:r>
              <w:rPr>
                <w:rFonts w:ascii="Arial" w:cs="Arial" w:eastAsia="Arial" w:hAnsi="Arial"/>
                <w:sz w:val="14"/>
                <w:szCs w:val="14"/>
                <w:b w:val="1"/>
                <w:bCs w:val="1"/>
                <w:color w:val="FFFFFF"/>
              </w:rPr>
              <w:t>2026</w:t>
            </w:r>
          </w:p>
        </w:tc>
        <w:tc>
          <w:tcPr>
            <w:tcW w:w="80" w:type="dxa"/>
            <w:vAlign w:val="bottom"/>
          </w:tcPr>
          <w:p>
            <w:pPr>
              <w:spacing w:after="0"/>
              <w:rPr>
                <w:sz w:val="18"/>
                <w:szCs w:val="18"/>
                <w:color w:val="auto"/>
              </w:rPr>
            </w:pPr>
          </w:p>
        </w:tc>
        <w:tc>
          <w:tcPr>
            <w:tcW w:w="1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tcBorders>
            <w:shd w:val="clear" w:color="auto" w:fill="E20074"/>
          </w:tcPr>
          <w:p>
            <w:pPr>
              <w:jc w:val="right"/>
              <w:ind w:right="168"/>
              <w:spacing w:after="0"/>
              <w:rPr>
                <w:sz w:val="20"/>
                <w:szCs w:val="20"/>
                <w:color w:val="auto"/>
              </w:rPr>
            </w:pPr>
            <w:r>
              <w:rPr>
                <w:rFonts w:ascii="Arial" w:cs="Arial" w:eastAsia="Arial" w:hAnsi="Arial"/>
                <w:sz w:val="14"/>
                <w:szCs w:val="14"/>
                <w:b w:val="1"/>
                <w:bCs w:val="1"/>
                <w:color w:val="FFFFFF"/>
              </w:rPr>
              <w:t>2025</w:t>
            </w:r>
          </w:p>
        </w:tc>
        <w:tc>
          <w:tcPr>
            <w:tcW w:w="100" w:type="dxa"/>
            <w:vAlign w:val="bottom"/>
          </w:tcPr>
          <w:p>
            <w:pPr>
              <w:spacing w:after="0"/>
              <w:rPr>
                <w:sz w:val="18"/>
                <w:szCs w:val="18"/>
                <w:color w:val="auto"/>
              </w:rPr>
            </w:pPr>
          </w:p>
        </w:tc>
        <w:tc>
          <w:tcPr>
            <w:tcW w:w="940" w:type="dxa"/>
            <w:vAlign w:val="bottom"/>
            <w:tcBorders>
              <w:bottom w:val="single" w:sz="8" w:color="E20074"/>
            </w:tcBorders>
            <w:shd w:val="clear" w:color="auto" w:fill="E20074"/>
          </w:tcPr>
          <w:p>
            <w:pPr>
              <w:jc w:val="right"/>
              <w:ind w:right="108"/>
              <w:spacing w:after="0"/>
              <w:rPr>
                <w:sz w:val="20"/>
                <w:szCs w:val="20"/>
                <w:color w:val="auto"/>
              </w:rPr>
            </w:pPr>
            <w:r>
              <w:rPr>
                <w:rFonts w:ascii="Arial" w:cs="Arial" w:eastAsia="Arial" w:hAnsi="Arial"/>
                <w:sz w:val="14"/>
                <w:szCs w:val="14"/>
                <w:b w:val="1"/>
                <w:bCs w:val="1"/>
                <w:color w:val="FFFFFF"/>
              </w:rPr>
              <w:t>Q2 2026</w:t>
            </w:r>
          </w:p>
        </w:tc>
        <w:tc>
          <w:tcPr>
            <w:tcW w:w="80" w:type="dxa"/>
            <w:vAlign w:val="bottom"/>
          </w:tcPr>
          <w:p>
            <w:pPr>
              <w:spacing w:after="0"/>
              <w:rPr>
                <w:sz w:val="18"/>
                <w:szCs w:val="18"/>
                <w:color w:val="auto"/>
              </w:rPr>
            </w:pPr>
          </w:p>
        </w:tc>
        <w:tc>
          <w:tcPr>
            <w:tcW w:w="940" w:type="dxa"/>
            <w:vAlign w:val="bottom"/>
            <w:tcBorders>
              <w:bottom w:val="single" w:sz="8" w:color="E20074"/>
            </w:tcBorders>
            <w:shd w:val="clear" w:color="auto" w:fill="E20074"/>
          </w:tcPr>
          <w:p>
            <w:pPr>
              <w:jc w:val="right"/>
              <w:ind w:right="108"/>
              <w:spacing w:after="0"/>
              <w:rPr>
                <w:sz w:val="20"/>
                <w:szCs w:val="20"/>
                <w:color w:val="auto"/>
              </w:rPr>
            </w:pPr>
            <w:r>
              <w:rPr>
                <w:rFonts w:ascii="Arial" w:cs="Arial" w:eastAsia="Arial" w:hAnsi="Arial"/>
                <w:sz w:val="14"/>
                <w:szCs w:val="14"/>
                <w:b w:val="1"/>
                <w:bCs w:val="1"/>
                <w:color w:val="FFFFFF"/>
              </w:rPr>
              <w:t>Q3 2025</w:t>
            </w:r>
          </w:p>
        </w:tc>
        <w:tc>
          <w:tcPr>
            <w:tcW w:w="100" w:type="dxa"/>
            <w:vAlign w:val="bottom"/>
          </w:tcPr>
          <w:p>
            <w:pPr>
              <w:spacing w:after="0"/>
              <w:rPr>
                <w:sz w:val="18"/>
                <w:szCs w:val="18"/>
                <w:color w:val="auto"/>
              </w:rPr>
            </w:pPr>
          </w:p>
        </w:tc>
        <w:tc>
          <w:tcPr>
            <w:tcW w:w="920" w:type="dxa"/>
            <w:vAlign w:val="bottom"/>
            <w:tcBorders>
              <w:bottom w:val="single" w:sz="8" w:color="E20074"/>
            </w:tcBorders>
            <w:shd w:val="clear" w:color="auto" w:fill="E20074"/>
          </w:tcPr>
          <w:p>
            <w:pPr>
              <w:jc w:val="center"/>
              <w:spacing w:after="0"/>
              <w:rPr>
                <w:sz w:val="20"/>
                <w:szCs w:val="20"/>
                <w:color w:val="auto"/>
              </w:rPr>
            </w:pPr>
            <w:r>
              <w:rPr>
                <w:rFonts w:ascii="Arial" w:cs="Arial" w:eastAsia="Arial" w:hAnsi="Arial"/>
                <w:sz w:val="14"/>
                <w:szCs w:val="14"/>
                <w:b w:val="1"/>
                <w:bCs w:val="1"/>
                <w:color w:val="FFFFFF"/>
              </w:rPr>
              <w:t>YTD 2025</w:t>
            </w:r>
          </w:p>
        </w:tc>
        <w:tc>
          <w:tcPr>
            <w:tcW w:w="0" w:type="dxa"/>
            <w:vAlign w:val="bottom"/>
          </w:tcPr>
          <w:p>
            <w:pPr>
              <w:spacing w:after="0"/>
              <w:rPr>
                <w:sz w:val="1"/>
                <w:szCs w:val="1"/>
                <w:color w:val="auto"/>
              </w:rPr>
            </w:pPr>
          </w:p>
        </w:tc>
      </w:tr>
      <w:tr>
        <w:trPr>
          <w:trHeight w:val="229"/>
        </w:trPr>
        <w:tc>
          <w:tcPr>
            <w:tcW w:w="3640" w:type="dxa"/>
            <w:vAlign w:val="bottom"/>
            <w:shd w:val="clear" w:color="auto" w:fill="DBDBDB"/>
          </w:tcPr>
          <w:p>
            <w:pPr>
              <w:ind w:left="40"/>
              <w:spacing w:after="0"/>
              <w:rPr>
                <w:sz w:val="20"/>
                <w:szCs w:val="20"/>
                <w:color w:val="auto"/>
              </w:rPr>
            </w:pPr>
            <w:r>
              <w:rPr>
                <w:rFonts w:ascii="Arial" w:cs="Arial" w:eastAsia="Arial" w:hAnsi="Arial"/>
                <w:sz w:val="14"/>
                <w:szCs w:val="14"/>
                <w:color w:val="auto"/>
              </w:rPr>
              <w:t>Total service revenues</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   19,375</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   18,983</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   18,241</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57,189</w:t>
            </w:r>
          </w:p>
        </w:tc>
        <w:tc>
          <w:tcPr>
            <w:tcW w:w="26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52,604</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2.1 %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6.2 %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212"/>
        </w:trPr>
        <w:tc>
          <w:tcPr>
            <w:tcW w:w="3640" w:type="dxa"/>
            <w:vAlign w:val="bottom"/>
          </w:tcPr>
          <w:p>
            <w:pPr>
              <w:ind w:left="140"/>
              <w:spacing w:after="0"/>
              <w:rPr>
                <w:sz w:val="20"/>
                <w:szCs w:val="20"/>
                <w:color w:val="auto"/>
              </w:rPr>
            </w:pPr>
            <w:r>
              <w:rPr>
                <w:rFonts w:ascii="Arial" w:cs="Arial" w:eastAsia="Arial" w:hAnsi="Arial"/>
                <w:sz w:val="14"/>
                <w:szCs w:val="14"/>
                <w:color w:val="auto"/>
              </w:rPr>
              <w:t>Postpaid service revenues</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16,269</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15,853</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14,882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47,751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42,554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9.3 %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220"/>
        </w:trPr>
        <w:tc>
          <w:tcPr>
            <w:tcW w:w="3640" w:type="dxa"/>
            <w:vAlign w:val="bottom"/>
            <w:shd w:val="clear" w:color="auto" w:fill="DBDBDB"/>
          </w:tcPr>
          <w:p>
            <w:pPr>
              <w:ind w:left="40"/>
              <w:spacing w:after="0"/>
              <w:rPr>
                <w:sz w:val="20"/>
                <w:szCs w:val="20"/>
                <w:color w:val="auto"/>
              </w:rPr>
            </w:pPr>
            <w:r>
              <w:rPr>
                <w:rFonts w:ascii="Arial" w:cs="Arial" w:eastAsia="Arial" w:hAnsi="Arial"/>
                <w:sz w:val="14"/>
                <w:szCs w:val="14"/>
                <w:color w:val="auto"/>
              </w:rPr>
              <w:t>Total revenues</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23,584</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22,791</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21,957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69,482</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63,975</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3.5 %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7.4 %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12"/>
        </w:trPr>
        <w:tc>
          <w:tcPr>
            <w:tcW w:w="36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3,455</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3,239</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2,714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9,198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8,889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27.3 %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20"/>
        </w:trPr>
        <w:tc>
          <w:tcPr>
            <w:tcW w:w="3640" w:type="dxa"/>
            <w:vAlign w:val="bottom"/>
            <w:shd w:val="clear" w:color="auto" w:fill="DBDBDB"/>
          </w:tcPr>
          <w:p>
            <w:pPr>
              <w:ind w:left="40"/>
              <w:spacing w:after="0"/>
              <w:rPr>
                <w:sz w:val="20"/>
                <w:szCs w:val="20"/>
                <w:color w:val="auto"/>
              </w:rPr>
            </w:pPr>
            <w:r>
              <w:rPr>
                <w:rFonts w:ascii="Arial" w:cs="Arial" w:eastAsia="Arial" w:hAnsi="Arial"/>
                <w:sz w:val="14"/>
                <w:szCs w:val="14"/>
                <w:color w:val="auto"/>
              </w:rPr>
              <w:t>Diluted EPS</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3.22</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2.99</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2.41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8.47</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7.82</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7.7 %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33.6 %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12"/>
        </w:trPr>
        <w:tc>
          <w:tcPr>
            <w:tcW w:w="364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9,620</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9,537</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8,684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28,398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25,490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0.9 %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10.8 %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20"/>
        </w:trPr>
        <w:tc>
          <w:tcPr>
            <w:tcW w:w="3640" w:type="dxa"/>
            <w:vAlign w:val="bottom"/>
            <w:shd w:val="clear" w:color="auto" w:fill="DBDBDB"/>
          </w:tcPr>
          <w:p>
            <w:pPr>
              <w:ind w:left="40"/>
              <w:spacing w:after="0"/>
              <w:rPr>
                <w:sz w:val="20"/>
                <w:szCs w:val="20"/>
                <w:color w:val="auto"/>
              </w:rPr>
            </w:pPr>
            <w:r>
              <w:rPr>
                <w:rFonts w:ascii="Arial" w:cs="Arial" w:eastAsia="Arial" w:hAnsi="Arial"/>
                <w:sz w:val="14"/>
                <w:szCs w:val="14"/>
                <w:color w:val="auto"/>
              </w:rPr>
              <w:t>Core Adjusted EBITDA</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9,620</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9,537</w:t>
            </w:r>
          </w:p>
        </w:tc>
        <w:tc>
          <w:tcPr>
            <w:tcW w:w="9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8,680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28,397</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25,479</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0.9 %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10.8 %</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212"/>
        </w:trPr>
        <w:tc>
          <w:tcPr>
            <w:tcW w:w="364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7,341</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7,500</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7,457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22,063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21,296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66"/>
        </w:trPr>
        <w:tc>
          <w:tcPr>
            <w:tcW w:w="3640" w:type="dxa"/>
            <w:vAlign w:val="bottom"/>
            <w:shd w:val="clear" w:color="auto" w:fill="DBDBDB"/>
          </w:tcPr>
          <w:p>
            <w:pPr>
              <w:ind w:left="40"/>
              <w:spacing w:after="0"/>
              <w:rPr>
                <w:sz w:val="20"/>
                <w:szCs w:val="20"/>
                <w:color w:val="auto"/>
              </w:rPr>
            </w:pPr>
            <w:r>
              <w:rPr>
                <w:rFonts w:ascii="Arial" w:cs="Arial" w:eastAsia="Arial" w:hAnsi="Arial"/>
                <w:sz w:val="14"/>
                <w:szCs w:val="14"/>
                <w:color w:val="auto"/>
              </w:rPr>
              <w:t>Cash purchases of property and equipment, including</w:t>
            </w:r>
          </w:p>
        </w:tc>
        <w:tc>
          <w:tcPr>
            <w:tcW w:w="8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2,270</w:t>
            </w:r>
          </w:p>
        </w:tc>
        <w:tc>
          <w:tcPr>
            <w:tcW w:w="920" w:type="dxa"/>
            <w:vAlign w:val="bottom"/>
            <w:gridSpan w:val="2"/>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2,703</w:t>
            </w:r>
          </w:p>
        </w:tc>
        <w:tc>
          <w:tcPr>
            <w:tcW w:w="920" w:type="dxa"/>
            <w:vAlign w:val="bottom"/>
            <w:gridSpan w:val="2"/>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2,639</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7,596</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7,486</w:t>
            </w:r>
          </w:p>
        </w:tc>
        <w:tc>
          <w:tcPr>
            <w:tcW w:w="104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(16.0)%</w:t>
            </w:r>
          </w:p>
        </w:tc>
        <w:tc>
          <w:tcPr>
            <w:tcW w:w="10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(14.0)%</w:t>
            </w:r>
          </w:p>
        </w:tc>
        <w:tc>
          <w:tcPr>
            <w:tcW w:w="10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3640" w:type="dxa"/>
            <w:vAlign w:val="bottom"/>
            <w:shd w:val="clear" w:color="auto" w:fill="DBDBDB"/>
          </w:tcPr>
          <w:p>
            <w:pPr>
              <w:ind w:left="40"/>
              <w:spacing w:after="0"/>
              <w:rPr>
                <w:sz w:val="20"/>
                <w:szCs w:val="20"/>
                <w:color w:val="auto"/>
              </w:rPr>
            </w:pPr>
            <w:r>
              <w:rPr>
                <w:rFonts w:ascii="Arial" w:cs="Arial" w:eastAsia="Arial" w:hAnsi="Arial"/>
                <w:sz w:val="14"/>
                <w:szCs w:val="14"/>
                <w:color w:val="auto"/>
              </w:rPr>
              <w:t>capitalized interest</w:t>
            </w:r>
          </w:p>
        </w:tc>
        <w:tc>
          <w:tcPr>
            <w:tcW w:w="820" w:type="dxa"/>
            <w:vAlign w:val="bottom"/>
            <w:vMerge w:val="continue"/>
            <w:shd w:val="clear" w:color="auto" w:fill="DBDBDB"/>
          </w:tcPr>
          <w:p>
            <w:pPr>
              <w:spacing w:after="0"/>
              <w:rPr>
                <w:sz w:val="16"/>
                <w:szCs w:val="16"/>
                <w:color w:val="auto"/>
              </w:rPr>
            </w:pPr>
          </w:p>
        </w:tc>
        <w:tc>
          <w:tcPr>
            <w:tcW w:w="920" w:type="dxa"/>
            <w:vAlign w:val="bottom"/>
            <w:gridSpan w:val="2"/>
            <w:vMerge w:val="continue"/>
            <w:shd w:val="clear" w:color="auto" w:fill="DBDBDB"/>
          </w:tcPr>
          <w:p>
            <w:pPr>
              <w:spacing w:after="0"/>
              <w:rPr>
                <w:sz w:val="16"/>
                <w:szCs w:val="16"/>
                <w:color w:val="auto"/>
              </w:rPr>
            </w:pPr>
          </w:p>
        </w:tc>
        <w:tc>
          <w:tcPr>
            <w:tcW w:w="920" w:type="dxa"/>
            <w:vAlign w:val="bottom"/>
            <w:gridSpan w:val="2"/>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1040" w:type="dxa"/>
            <w:vAlign w:val="bottom"/>
            <w:gridSpan w:val="2"/>
            <w:vMerge w:val="continue"/>
            <w:shd w:val="clear" w:color="auto" w:fill="DBDBDB"/>
          </w:tcPr>
          <w:p>
            <w:pPr>
              <w:spacing w:after="0"/>
              <w:rPr>
                <w:sz w:val="16"/>
                <w:szCs w:val="16"/>
                <w:color w:val="auto"/>
              </w:rPr>
            </w:pPr>
          </w:p>
        </w:tc>
        <w:tc>
          <w:tcPr>
            <w:tcW w:w="1020" w:type="dxa"/>
            <w:vAlign w:val="bottom"/>
            <w:gridSpan w:val="2"/>
            <w:vMerge w:val="continue"/>
            <w:shd w:val="clear" w:color="auto" w:fill="DBDBDB"/>
          </w:tcPr>
          <w:p>
            <w:pPr>
              <w:spacing w:after="0"/>
              <w:rPr>
                <w:sz w:val="16"/>
                <w:szCs w:val="16"/>
                <w:color w:val="auto"/>
              </w:rPr>
            </w:pPr>
          </w:p>
        </w:tc>
        <w:tc>
          <w:tcPr>
            <w:tcW w:w="1020" w:type="dxa"/>
            <w:vAlign w:val="bottom"/>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ind w:left="40"/>
              <w:spacing w:after="0"/>
              <w:rPr>
                <w:sz w:val="20"/>
                <w:szCs w:val="20"/>
                <w:color w:val="auto"/>
              </w:rPr>
            </w:pPr>
            <w:r>
              <w:rPr>
                <w:rFonts w:ascii="Arial" w:cs="Arial" w:eastAsia="Arial" w:hAnsi="Arial"/>
                <w:sz w:val="14"/>
                <w:szCs w:val="14"/>
                <w:color w:val="auto"/>
              </w:rPr>
              <w:t>Adjusted Free Cash Flow</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5,071</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4,797</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4,818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14,467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13,810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5.3 %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-354330</wp:posOffset>
            </wp:positionV>
            <wp:extent cx="825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-628650</wp:posOffset>
            </wp:positionV>
            <wp:extent cx="825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-902970</wp:posOffset>
            </wp:positionV>
            <wp:extent cx="825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-1177290</wp:posOffset>
            </wp:positionV>
            <wp:extent cx="825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5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Beginning in Q3 2022 through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Extending Overall Network Lead with Best Assets, Customer Centricity and Technology Leadership</w:t>
      </w:r>
    </w:p>
    <w:p>
      <w:pPr>
        <w:spacing w:after="0" w:line="77" w:lineRule="exact"/>
        <w:rPr>
          <w:sz w:val="20"/>
          <w:szCs w:val="20"/>
          <w:color w:val="auto"/>
        </w:rPr>
      </w:pPr>
    </w:p>
    <w:p>
      <w:pPr>
        <w:ind w:left="260" w:hanging="252"/>
        <w:spacing w:after="0" w:line="272" w:lineRule="auto"/>
        <w:tabs>
          <w:tab w:leader="none" w:pos="248" w:val="left"/>
        </w:tabs>
        <w:numPr>
          <w:ilvl w:val="0"/>
          <w:numId w:val="9"/>
        </w:numPr>
        <w:rPr>
          <w:rFonts w:ascii="Arial" w:cs="Arial" w:eastAsia="Arial" w:hAnsi="Arial"/>
          <w:sz w:val="20"/>
          <w:szCs w:val="20"/>
          <w:color w:val="auto"/>
        </w:rPr>
      </w:pPr>
      <w:r>
        <w:rPr>
          <w:rFonts w:ascii="Arial" w:cs="Arial" w:eastAsia="Arial" w:hAnsi="Arial"/>
          <w:sz w:val="18"/>
          <w:szCs w:val="18"/>
          <w:color w:val="auto"/>
        </w:rPr>
        <w:t>PCMag awarded T-Mobile Best Mobile Network (Major Carrier), Fastest Mobile Network, Best Mobile Network Coverage, Best Mobile Network Pricing (Major Carrier), and Highest Mobile Network Customer Satisfaction (Major Carrier).</w:t>
      </w:r>
    </w:p>
    <w:p>
      <w:pPr>
        <w:spacing w:after="0" w:line="17" w:lineRule="exact"/>
        <w:rPr>
          <w:rFonts w:ascii="Arial" w:cs="Arial" w:eastAsia="Arial" w:hAnsi="Arial"/>
          <w:sz w:val="20"/>
          <w:szCs w:val="20"/>
          <w:color w:val="auto"/>
        </w:rPr>
      </w:pPr>
    </w:p>
    <w:p>
      <w:pPr>
        <w:ind w:left="240" w:hanging="232"/>
        <w:spacing w:after="0"/>
        <w:tabs>
          <w:tab w:leader="none" w:pos="2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T-Mobile recognized by Opensignal as the 5G Global Winner for 5G Coverage and for Time on 5G in large land-area markets.</w:t>
      </w:r>
    </w:p>
    <w:p>
      <w:pPr>
        <w:spacing w:after="0" w:line="53" w:lineRule="exact"/>
        <w:rPr>
          <w:rFonts w:ascii="Arial" w:cs="Arial" w:eastAsia="Arial" w:hAnsi="Arial"/>
          <w:sz w:val="20"/>
          <w:szCs w:val="20"/>
          <w:color w:val="auto"/>
        </w:rPr>
      </w:pPr>
    </w:p>
    <w:p>
      <w:pPr>
        <w:ind w:left="240" w:hanging="232"/>
        <w:spacing w:after="0"/>
        <w:tabs>
          <w:tab w:leader="none" w:pos="240" w:val="left"/>
        </w:tabs>
        <w:numPr>
          <w:ilvl w:val="0"/>
          <w:numId w:val="9"/>
        </w:numPr>
        <w:rPr>
          <w:rFonts w:ascii="Arial" w:cs="Arial" w:eastAsia="Arial" w:hAnsi="Arial"/>
          <w:sz w:val="20"/>
          <w:szCs w:val="20"/>
          <w:color w:val="auto"/>
        </w:rPr>
      </w:pPr>
      <w:r>
        <w:rPr>
          <w:rFonts w:ascii="Arial" w:cs="Arial" w:eastAsia="Arial" w:hAnsi="Arial"/>
          <w:sz w:val="18"/>
          <w:szCs w:val="18"/>
          <w:color w:val="auto"/>
        </w:rPr>
        <w:t>Ookla again ranked T-Mobile as the fastest 5G FWA provider in download &amp; upload speeds.</w:t>
      </w:r>
    </w:p>
    <w:p>
      <w:pPr>
        <w:spacing w:after="0" w:line="67" w:lineRule="exact"/>
        <w:rPr>
          <w:rFonts w:ascii="Arial" w:cs="Arial" w:eastAsia="Arial" w:hAnsi="Arial"/>
          <w:sz w:val="20"/>
          <w:szCs w:val="20"/>
          <w:color w:val="auto"/>
        </w:rPr>
      </w:pPr>
    </w:p>
    <w:p>
      <w:pPr>
        <w:ind w:left="260" w:right="20" w:hanging="252"/>
        <w:spacing w:after="0" w:line="260" w:lineRule="auto"/>
        <w:tabs>
          <w:tab w:leader="none" w:pos="248" w:val="left"/>
        </w:tabs>
        <w:numPr>
          <w:ilvl w:val="0"/>
          <w:numId w:val="9"/>
        </w:numPr>
        <w:rPr>
          <w:rFonts w:ascii="Arial" w:cs="Arial" w:eastAsia="Arial" w:hAnsi="Arial"/>
          <w:sz w:val="20"/>
          <w:szCs w:val="20"/>
          <w:color w:val="auto"/>
        </w:rPr>
      </w:pPr>
      <w:r>
        <w:rPr>
          <w:rFonts w:ascii="Arial" w:cs="Arial" w:eastAsia="Arial" w:hAnsi="Arial"/>
          <w:sz w:val="18"/>
          <w:szCs w:val="18"/>
          <w:color w:val="auto"/>
        </w:rPr>
        <w:t>T-Mobile awarded Mobile Network Test Champion by P3 for the second consecutive quarter in their Q3 2026 US Benchmark, again sweeping all 13 award categories.</w:t>
      </w:r>
    </w:p>
    <w:p>
      <w:pPr>
        <w:spacing w:after="0" w:line="315" w:lineRule="exact"/>
        <w:rPr>
          <w:sz w:val="20"/>
          <w:szCs w:val="20"/>
          <w:color w:val="auto"/>
        </w:rPr>
      </w:pPr>
    </w:p>
    <w:p>
      <w:pPr>
        <w:spacing w:after="0"/>
        <w:rPr>
          <w:sz w:val="20"/>
          <w:szCs w:val="20"/>
          <w:color w:val="auto"/>
        </w:rPr>
      </w:pPr>
      <w:r>
        <w:rPr>
          <w:rFonts w:ascii="Arial" w:cs="Arial" w:eastAsia="Arial" w:hAnsi="Arial"/>
          <w:sz w:val="10"/>
          <w:szCs w:val="10"/>
          <w:color w:val="auto"/>
        </w:rPr>
        <w:t>See 5G device, coverage, and access details at T-Mobile.com. PCMag: Based on PCMag's index of CoverageMap.com speed and 5G coverage test data (Jan. 1 to June 30, 2026), BestPhonePlans average unlimited plan pricing, and</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PCMag Readers' Choice survey results. PCMag The Best Mobile Networks in America 2026. Coverage award based on 5G coverage. Reprinted with permission. © 2026 Ziff Davis, LLC. All Rights Reserved. Opensignal: Opensignal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Awards - 5G Global Mobile Network Experience Report, Sept 2026, Large land-area, based on independent analysis of mobile measurements recorded during the period Jan. 1 to June 29, 2026. © 2026 Opensignal Limited. Ookla:</w:t>
      </w:r>
    </w:p>
    <w:p>
      <w:pPr>
        <w:spacing w:after="0"/>
        <w:rPr>
          <w:sz w:val="20"/>
          <w:szCs w:val="20"/>
          <w:color w:val="auto"/>
        </w:rPr>
      </w:pPr>
      <w:r>
        <w:rPr>
          <w:rFonts w:ascii="Arial" w:cs="Arial" w:eastAsia="Arial" w:hAnsi="Arial"/>
          <w:sz w:val="11"/>
          <w:szCs w:val="11"/>
          <w:color w:val="auto"/>
        </w:rPr>
        <w:t>Fastest according to Ookla Speedtest Intelligence data, 1H2026. All rights reserved. P3: US Mobile Benchmark Q3 2026.</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Raising Profitability and Cash Flow Guidance at the Midpoint</w:t>
      </w:r>
    </w:p>
    <w:p>
      <w:pPr>
        <w:spacing w:after="0" w:line="77" w:lineRule="exact"/>
        <w:rPr>
          <w:sz w:val="20"/>
          <w:szCs w:val="20"/>
          <w:color w:val="auto"/>
        </w:rPr>
      </w:pPr>
    </w:p>
    <w:p>
      <w:pPr>
        <w:ind w:left="260" w:right="20" w:hanging="252"/>
        <w:spacing w:after="0" w:line="260" w:lineRule="auto"/>
        <w:tabs>
          <w:tab w:leader="none" w:pos="2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Postpaid net account additions are expected to be approximately 1.0 million, at the midpoint of the previous guide of 950 thousand to 1.05 million.</w:t>
      </w:r>
    </w:p>
    <w:p>
      <w:pPr>
        <w:spacing w:after="0" w:line="26" w:lineRule="exact"/>
        <w:rPr>
          <w:rFonts w:ascii="Arial" w:cs="Arial" w:eastAsia="Arial" w:hAnsi="Arial"/>
          <w:sz w:val="20"/>
          <w:szCs w:val="20"/>
          <w:color w:val="auto"/>
        </w:rPr>
      </w:pPr>
    </w:p>
    <w:p>
      <w:pPr>
        <w:ind w:left="240" w:hanging="232"/>
        <w:spacing w:after="0"/>
        <w:tabs>
          <w:tab w:leader="none" w:pos="2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Effective tax rate is now expected to be between 24% and 25%, a decrease from prior guidance of between 25% and 26%.</w:t>
      </w:r>
    </w:p>
    <w:p>
      <w:pPr>
        <w:spacing w:after="0" w:line="67" w:lineRule="exact"/>
        <w:rPr>
          <w:rFonts w:ascii="Arial" w:cs="Arial" w:eastAsia="Arial" w:hAnsi="Arial"/>
          <w:sz w:val="20"/>
          <w:szCs w:val="20"/>
          <w:color w:val="auto"/>
        </w:rPr>
      </w:pPr>
    </w:p>
    <w:p>
      <w:pPr>
        <w:ind w:left="260" w:right="20" w:hanging="252"/>
        <w:spacing w:after="0" w:line="272" w:lineRule="auto"/>
        <w:tabs>
          <w:tab w:leader="none" w:pos="2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Core Adjusted EBITDA, which is Adjusted EBITDA less lease revenues, is expected to be between $37.35 billion and $37.45 billion, an increase at the midpoint from prior guidance of $37.1 billion to $37.5 billion.</w:t>
      </w:r>
    </w:p>
    <w:p>
      <w:pPr>
        <w:spacing w:after="0" w:line="17" w:lineRule="exact"/>
        <w:rPr>
          <w:rFonts w:ascii="Arial" w:cs="Arial" w:eastAsia="Arial" w:hAnsi="Arial"/>
          <w:sz w:val="20"/>
          <w:szCs w:val="20"/>
          <w:color w:val="auto"/>
        </w:rPr>
      </w:pPr>
    </w:p>
    <w:p>
      <w:pPr>
        <w:ind w:left="260" w:right="20" w:hanging="252"/>
        <w:spacing w:after="0" w:line="260" w:lineRule="auto"/>
        <w:tabs>
          <w:tab w:leader="none" w:pos="2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Net cash provided by operating activities, including net payments for UScellular merger-related costs, is now expected to be between $28.7 billion and $28.8 billion, an increase at the midpoint from prior guidance of $28.4 billion to $28.8 billion.</w:t>
      </w:r>
    </w:p>
    <w:p>
      <w:pPr>
        <w:spacing w:after="0" w:line="26" w:lineRule="exact"/>
        <w:rPr>
          <w:rFonts w:ascii="Arial" w:cs="Arial" w:eastAsia="Arial" w:hAnsi="Arial"/>
          <w:sz w:val="20"/>
          <w:szCs w:val="20"/>
          <w:color w:val="auto"/>
        </w:rPr>
      </w:pPr>
    </w:p>
    <w:p>
      <w:pPr>
        <w:ind w:left="240" w:hanging="232"/>
        <w:spacing w:after="0"/>
        <w:tabs>
          <w:tab w:leader="none" w:pos="2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Cash purchases of property and equipment, including capitalized interest, are expected to be approximately $10.0 billion.</w:t>
      </w:r>
    </w:p>
    <w:p>
      <w:pPr>
        <w:spacing w:after="0" w:line="67" w:lineRule="exact"/>
        <w:rPr>
          <w:rFonts w:ascii="Arial" w:cs="Arial" w:eastAsia="Arial" w:hAnsi="Arial"/>
          <w:sz w:val="20"/>
          <w:szCs w:val="20"/>
          <w:color w:val="auto"/>
        </w:rPr>
      </w:pPr>
    </w:p>
    <w:p>
      <w:pPr>
        <w:jc w:val="both"/>
        <w:ind w:left="260" w:hanging="252"/>
        <w:spacing w:after="0" w:line="254" w:lineRule="auto"/>
        <w:tabs>
          <w:tab w:leader="none" w:pos="2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Adjusted Free Cash Flow, including net payments for UScellular merger-related costs, is now expected to be between $18.7 billion and $18.8 billion, an increase at the midpoint from prior guidance of $18.4 billion to $18.8 billion. Adjusted Free Cash Flow guidance does not assume any material net cash inflows from securitization.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196215</wp:posOffset>
            </wp:positionV>
            <wp:extent cx="7132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Postpaid net account additions and Effective tax rate)</w:t>
            </w:r>
          </w:p>
        </w:tc>
        <w:tc>
          <w:tcPr>
            <w:tcW w:w="1780" w:type="dxa"/>
            <w:vAlign w:val="bottom"/>
            <w:gridSpan w:val="2"/>
            <w:vMerge w:val="restart"/>
            <w:shd w:val="clear" w:color="auto" w:fill="E20074"/>
          </w:tcPr>
          <w:p>
            <w:pPr>
              <w:jc w:val="center"/>
              <w:spacing w:after="0"/>
              <w:rPr>
                <w:sz w:val="20"/>
                <w:szCs w:val="20"/>
                <w:color w:val="auto"/>
              </w:rPr>
            </w:pPr>
            <w:r>
              <w:rPr>
                <w:rFonts w:ascii="Arial" w:cs="Arial" w:eastAsia="Arial" w:hAnsi="Arial"/>
                <w:sz w:val="14"/>
                <w:szCs w:val="14"/>
                <w:b w:val="1"/>
                <w:bCs w:val="1"/>
                <w:color w:val="FFFFFF"/>
              </w:rPr>
              <w:t>Previous</w:t>
            </w:r>
          </w:p>
        </w:tc>
        <w:tc>
          <w:tcPr>
            <w:tcW w:w="100" w:type="dxa"/>
            <w:vAlign w:val="bottom"/>
          </w:tcPr>
          <w:p>
            <w:pPr>
              <w:spacing w:after="0"/>
              <w:rPr>
                <w:sz w:val="15"/>
                <w:szCs w:val="15"/>
                <w:color w:val="auto"/>
              </w:rPr>
            </w:pPr>
          </w:p>
        </w:tc>
        <w:tc>
          <w:tcPr>
            <w:tcW w:w="1820" w:type="dxa"/>
            <w:vAlign w:val="bottom"/>
            <w:gridSpan w:val="2"/>
            <w:vMerge w:val="restart"/>
            <w:shd w:val="clear" w:color="auto" w:fill="E20074"/>
          </w:tcPr>
          <w:p>
            <w:pPr>
              <w:ind w:left="660"/>
              <w:spacing w:after="0"/>
              <w:rPr>
                <w:sz w:val="20"/>
                <w:szCs w:val="20"/>
                <w:color w:val="auto"/>
              </w:rPr>
            </w:pPr>
            <w:r>
              <w:rPr>
                <w:rFonts w:ascii="Arial" w:cs="Arial" w:eastAsia="Arial" w:hAnsi="Arial"/>
                <w:sz w:val="14"/>
                <w:szCs w:val="14"/>
                <w:b w:val="1"/>
                <w:bCs w:val="1"/>
                <w:color w:val="FFFFFF"/>
              </w:rPr>
              <w:t>Current</w:t>
            </w:r>
          </w:p>
        </w:tc>
        <w:tc>
          <w:tcPr>
            <w:tcW w:w="100" w:type="dxa"/>
            <w:vAlign w:val="bottom"/>
          </w:tcPr>
          <w:p>
            <w:pPr>
              <w:spacing w:after="0"/>
              <w:rPr>
                <w:sz w:val="15"/>
                <w:szCs w:val="15"/>
                <w:color w:val="auto"/>
              </w:rPr>
            </w:pPr>
          </w:p>
        </w:tc>
        <w:tc>
          <w:tcPr>
            <w:tcW w:w="840" w:type="dxa"/>
            <w:vAlign w:val="bottom"/>
            <w:shd w:val="clear" w:color="auto" w:fill="E20074"/>
          </w:tcPr>
          <w:p>
            <w:pPr>
              <w:jc w:val="center"/>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85"/>
        </w:trPr>
        <w:tc>
          <w:tcPr>
            <w:tcW w:w="6580" w:type="dxa"/>
            <w:vAlign w:val="bottom"/>
            <w:vMerge w:val="continue"/>
          </w:tcPr>
          <w:p>
            <w:pPr>
              <w:spacing w:after="0"/>
              <w:rPr>
                <w:sz w:val="16"/>
                <w:szCs w:val="16"/>
                <w:color w:val="auto"/>
              </w:rPr>
            </w:pPr>
          </w:p>
        </w:tc>
        <w:tc>
          <w:tcPr>
            <w:tcW w:w="1780" w:type="dxa"/>
            <w:vAlign w:val="bottom"/>
            <w:gridSpan w:val="2"/>
            <w:vMerge w:val="continue"/>
            <w:shd w:val="clear" w:color="auto" w:fill="E20074"/>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vMerge w:val="continue"/>
            <w:shd w:val="clear" w:color="auto" w:fill="E20074"/>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shd w:val="clear" w:color="auto" w:fill="E20074"/>
          </w:tcPr>
          <w:p>
            <w:pPr>
              <w:jc w:val="center"/>
              <w:spacing w:after="0"/>
              <w:rPr>
                <w:sz w:val="20"/>
                <w:szCs w:val="20"/>
                <w:color w:val="auto"/>
              </w:rPr>
            </w:pPr>
            <w:r>
              <w:rPr>
                <w:rFonts w:ascii="Arial" w:cs="Arial" w:eastAsia="Arial" w:hAnsi="Arial"/>
                <w:sz w:val="14"/>
                <w:szCs w:val="14"/>
                <w:b w:val="1"/>
                <w:bCs w:val="1"/>
                <w:color w:val="FFFFFF"/>
              </w:rPr>
              <w:t>(Mid-point)</w:t>
            </w:r>
          </w:p>
        </w:tc>
        <w:tc>
          <w:tcPr>
            <w:tcW w:w="0" w:type="dxa"/>
            <w:vAlign w:val="bottom"/>
          </w:tcPr>
          <w:p>
            <w:pPr>
              <w:spacing w:after="0"/>
              <w:rPr>
                <w:sz w:val="1"/>
                <w:szCs w:val="1"/>
                <w:color w:val="auto"/>
              </w:rPr>
            </w:pPr>
          </w:p>
        </w:tc>
      </w:tr>
      <w:tr>
        <w:trPr>
          <w:trHeight w:val="230"/>
        </w:trPr>
        <w:tc>
          <w:tcPr>
            <w:tcW w:w="6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Postpaid net account additions (thousands)</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950</w:t>
            </w:r>
          </w:p>
        </w:tc>
        <w:tc>
          <w:tcPr>
            <w:tcW w:w="9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1,050</w:t>
            </w:r>
          </w:p>
        </w:tc>
        <w:tc>
          <w:tcPr>
            <w:tcW w:w="1920" w:type="dxa"/>
            <w:vAlign w:val="bottom"/>
            <w:gridSpan w:val="3"/>
            <w:shd w:val="clear" w:color="auto" w:fill="DBDBDB"/>
          </w:tcPr>
          <w:p>
            <w:pPr>
              <w:jc w:val="right"/>
              <w:ind w:right="6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9"/>
                <w:szCs w:val="9"/>
                <w:color w:val="auto"/>
              </w:rPr>
              <w:t>(1)</w:t>
            </w:r>
          </w:p>
        </w:tc>
        <w:tc>
          <w:tcPr>
            <w:tcW w:w="880" w:type="dxa"/>
            <w:vAlign w:val="bottom"/>
          </w:tcPr>
          <w:p>
            <w:pPr>
              <w:ind w:left="300"/>
              <w:spacing w:after="0"/>
              <w:rPr>
                <w:sz w:val="20"/>
                <w:szCs w:val="20"/>
                <w:color w:val="auto"/>
              </w:rPr>
            </w:pPr>
            <w:r>
              <w:rPr>
                <w:rFonts w:ascii="Arial" w:cs="Arial" w:eastAsia="Arial" w:hAnsi="Arial"/>
                <w:sz w:val="14"/>
                <w:szCs w:val="14"/>
                <w:color w:val="auto"/>
              </w:rPr>
              <w:t>N/A</w:t>
            </w:r>
          </w:p>
        </w:tc>
        <w:tc>
          <w:tcPr>
            <w:tcW w:w="900" w:type="dxa"/>
            <w:vAlign w:val="bottom"/>
          </w:tcPr>
          <w:p>
            <w:pPr>
              <w:ind w:left="3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9"/>
                <w:szCs w:val="19"/>
                <w:color w:val="auto"/>
              </w:rPr>
            </w:pPr>
          </w:p>
        </w:tc>
        <w:tc>
          <w:tcPr>
            <w:tcW w:w="900" w:type="dxa"/>
            <w:vAlign w:val="bottom"/>
          </w:tcPr>
          <w:p>
            <w:pPr>
              <w:ind w:left="320"/>
              <w:spacing w:after="0"/>
              <w:rPr>
                <w:sz w:val="20"/>
                <w:szCs w:val="20"/>
                <w:color w:val="auto"/>
              </w:rPr>
            </w:pPr>
            <w:r>
              <w:rPr>
                <w:rFonts w:ascii="Arial" w:cs="Arial" w:eastAsia="Arial" w:hAnsi="Arial"/>
                <w:sz w:val="14"/>
                <w:szCs w:val="14"/>
                <w:color w:val="auto"/>
              </w:rPr>
              <w:t>N/A</w:t>
            </w:r>
          </w:p>
        </w:tc>
        <w:tc>
          <w:tcPr>
            <w:tcW w:w="920" w:type="dxa"/>
            <w:vAlign w:val="bottom"/>
          </w:tcPr>
          <w:p>
            <w:pPr>
              <w:ind w:left="34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0"/>
        </w:trPr>
        <w:tc>
          <w:tcPr>
            <w:tcW w:w="6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Effective tax rate</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25%</w:t>
            </w:r>
          </w:p>
        </w:tc>
        <w:tc>
          <w:tcPr>
            <w:tcW w:w="9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26%</w:t>
            </w:r>
          </w:p>
        </w:tc>
        <w:tc>
          <w:tcPr>
            <w:tcW w:w="1000" w:type="dxa"/>
            <w:vAlign w:val="bottom"/>
            <w:gridSpan w:val="2"/>
            <w:shd w:val="clear" w:color="auto" w:fill="DBDBDB"/>
          </w:tcPr>
          <w:p>
            <w:pPr>
              <w:jc w:val="center"/>
              <w:ind w:left="8"/>
              <w:spacing w:after="0"/>
              <w:rPr>
                <w:sz w:val="20"/>
                <w:szCs w:val="20"/>
                <w:color w:val="auto"/>
              </w:rPr>
            </w:pPr>
            <w:r>
              <w:rPr>
                <w:rFonts w:ascii="Arial" w:cs="Arial" w:eastAsia="Arial" w:hAnsi="Arial"/>
                <w:sz w:val="14"/>
                <w:szCs w:val="14"/>
                <w:color w:val="auto"/>
                <w:w w:val="99"/>
              </w:rPr>
              <w:t>24%</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 bps</w:t>
            </w:r>
          </w:p>
        </w:tc>
        <w:tc>
          <w:tcPr>
            <w:tcW w:w="0" w:type="dxa"/>
            <w:vAlign w:val="bottom"/>
          </w:tcPr>
          <w:p>
            <w:pPr>
              <w:spacing w:after="0"/>
              <w:rPr>
                <w:sz w:val="1"/>
                <w:szCs w:val="1"/>
                <w:color w:val="auto"/>
              </w:rPr>
            </w:pPr>
          </w:p>
        </w:tc>
      </w:tr>
      <w:tr>
        <w:trPr>
          <w:trHeight w:val="212"/>
        </w:trPr>
        <w:tc>
          <w:tcPr>
            <w:tcW w:w="6580" w:type="dxa"/>
            <w:vAlign w:val="bottom"/>
          </w:tcPr>
          <w:p>
            <w:pPr>
              <w:ind w:left="20"/>
              <w:spacing w:after="0"/>
              <w:rPr>
                <w:sz w:val="20"/>
                <w:szCs w:val="20"/>
                <w:color w:val="auto"/>
              </w:rPr>
            </w:pPr>
            <w:r>
              <w:rPr>
                <w:rFonts w:ascii="Arial" w:cs="Arial" w:eastAsia="Arial" w:hAnsi="Arial"/>
                <w:sz w:val="14"/>
                <w:szCs w:val="14"/>
                <w:color w:val="auto"/>
              </w:rPr>
              <w:t xml:space="preserve">Core Adjusted EBITDA </w:t>
            </w:r>
            <w:r>
              <w:rPr>
                <w:rFonts w:ascii="Arial" w:cs="Arial" w:eastAsia="Arial" w:hAnsi="Arial"/>
                <w:sz w:val="9"/>
                <w:szCs w:val="9"/>
                <w:color w:val="auto"/>
              </w:rPr>
              <w:t>(2)</w:t>
            </w:r>
          </w:p>
        </w:tc>
        <w:tc>
          <w:tcPr>
            <w:tcW w:w="880" w:type="dxa"/>
            <w:vAlign w:val="bottom"/>
          </w:tcPr>
          <w:p>
            <w:pPr>
              <w:jc w:val="center"/>
              <w:spacing w:after="0"/>
              <w:rPr>
                <w:sz w:val="20"/>
                <w:szCs w:val="20"/>
                <w:color w:val="auto"/>
              </w:rPr>
            </w:pPr>
            <w:r>
              <w:rPr>
                <w:rFonts w:ascii="Arial" w:cs="Arial" w:eastAsia="Arial" w:hAnsi="Arial"/>
                <w:sz w:val="14"/>
                <w:szCs w:val="14"/>
                <w:color w:val="auto"/>
              </w:rPr>
              <w:t>$37,100</w:t>
            </w:r>
          </w:p>
        </w:tc>
        <w:tc>
          <w:tcPr>
            <w:tcW w:w="900" w:type="dxa"/>
            <w:vAlign w:val="bottom"/>
          </w:tcPr>
          <w:p>
            <w:pPr>
              <w:jc w:val="center"/>
              <w:spacing w:after="0"/>
              <w:rPr>
                <w:sz w:val="20"/>
                <w:szCs w:val="20"/>
                <w:color w:val="auto"/>
              </w:rPr>
            </w:pPr>
            <w:r>
              <w:rPr>
                <w:rFonts w:ascii="Arial" w:cs="Arial" w:eastAsia="Arial" w:hAnsi="Arial"/>
                <w:sz w:val="14"/>
                <w:szCs w:val="14"/>
                <w:color w:val="auto"/>
              </w:rPr>
              <w:t>$37,500</w:t>
            </w:r>
          </w:p>
        </w:tc>
        <w:tc>
          <w:tcPr>
            <w:tcW w:w="1000" w:type="dxa"/>
            <w:vAlign w:val="bottom"/>
            <w:gridSpan w:val="2"/>
          </w:tcPr>
          <w:p>
            <w:pPr>
              <w:jc w:val="center"/>
              <w:ind w:left="8"/>
              <w:spacing w:after="0"/>
              <w:rPr>
                <w:sz w:val="20"/>
                <w:szCs w:val="20"/>
                <w:color w:val="auto"/>
              </w:rPr>
            </w:pPr>
            <w:r>
              <w:rPr>
                <w:rFonts w:ascii="Arial" w:cs="Arial" w:eastAsia="Arial" w:hAnsi="Arial"/>
                <w:sz w:val="14"/>
                <w:szCs w:val="14"/>
                <w:color w:val="auto"/>
              </w:rPr>
              <w:t>$37,350</w:t>
            </w:r>
          </w:p>
        </w:tc>
        <w:tc>
          <w:tcPr>
            <w:tcW w:w="920" w:type="dxa"/>
            <w:vAlign w:val="bottom"/>
          </w:tcPr>
          <w:p>
            <w:pPr>
              <w:jc w:val="center"/>
              <w:spacing w:after="0"/>
              <w:rPr>
                <w:sz w:val="20"/>
                <w:szCs w:val="20"/>
                <w:color w:val="auto"/>
              </w:rPr>
            </w:pPr>
            <w:r>
              <w:rPr>
                <w:rFonts w:ascii="Arial" w:cs="Arial" w:eastAsia="Arial" w:hAnsi="Arial"/>
                <w:sz w:val="14"/>
                <w:szCs w:val="14"/>
                <w:color w:val="auto"/>
              </w:rPr>
              <w:t>$37,450</w:t>
            </w:r>
          </w:p>
        </w:tc>
        <w:tc>
          <w:tcPr>
            <w:tcW w:w="940" w:type="dxa"/>
            <w:vAlign w:val="bottom"/>
            <w:gridSpan w:val="2"/>
          </w:tcPr>
          <w:p>
            <w:pPr>
              <w:jc w:val="center"/>
              <w:ind w:lef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4"/>
        </w:trPr>
        <w:tc>
          <w:tcPr>
            <w:tcW w:w="6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28,400</w:t>
            </w:r>
          </w:p>
        </w:tc>
        <w:tc>
          <w:tcPr>
            <w:tcW w:w="9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28,800</w:t>
            </w:r>
          </w:p>
        </w:tc>
        <w:tc>
          <w:tcPr>
            <w:tcW w:w="1000" w:type="dxa"/>
            <w:vAlign w:val="bottom"/>
            <w:gridSpan w:val="2"/>
            <w:shd w:val="clear" w:color="auto" w:fill="DBDBDB"/>
          </w:tcPr>
          <w:p>
            <w:pPr>
              <w:jc w:val="center"/>
              <w:ind w:left="8"/>
              <w:spacing w:after="0"/>
              <w:rPr>
                <w:sz w:val="20"/>
                <w:szCs w:val="20"/>
                <w:color w:val="auto"/>
              </w:rPr>
            </w:pPr>
            <w:r>
              <w:rPr>
                <w:rFonts w:ascii="Arial" w:cs="Arial" w:eastAsia="Arial" w:hAnsi="Arial"/>
                <w:sz w:val="14"/>
                <w:szCs w:val="14"/>
                <w:color w:val="auto"/>
              </w:rPr>
              <w:t>28,700</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28,800</w:t>
            </w:r>
          </w:p>
        </w:tc>
        <w:tc>
          <w:tcPr>
            <w:tcW w:w="94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2"/>
        </w:trPr>
        <w:tc>
          <w:tcPr>
            <w:tcW w:w="6580" w:type="dxa"/>
            <w:vAlign w:val="bottom"/>
          </w:tcPr>
          <w:p>
            <w:pPr>
              <w:ind w:left="20"/>
              <w:spacing w:after="0"/>
              <w:rPr>
                <w:sz w:val="20"/>
                <w:szCs w:val="20"/>
                <w:color w:val="auto"/>
              </w:rPr>
            </w:pPr>
            <w:r>
              <w:rPr>
                <w:rFonts w:ascii="Arial" w:cs="Arial" w:eastAsia="Arial" w:hAnsi="Arial"/>
                <w:sz w:val="14"/>
                <w:szCs w:val="14"/>
                <w:color w:val="auto"/>
              </w:rPr>
              <w:t xml:space="preserve">Capital expenditures </w:t>
            </w:r>
            <w:r>
              <w:rPr>
                <w:rFonts w:ascii="Arial" w:cs="Arial" w:eastAsia="Arial" w:hAnsi="Arial"/>
                <w:sz w:val="9"/>
                <w:szCs w:val="9"/>
                <w:color w:val="auto"/>
              </w:rPr>
              <w:t>(3)</w:t>
            </w:r>
          </w:p>
        </w:tc>
        <w:tc>
          <w:tcPr>
            <w:tcW w:w="1780" w:type="dxa"/>
            <w:vAlign w:val="bottom"/>
            <w:gridSpan w:val="2"/>
          </w:tcPr>
          <w:p>
            <w:pPr>
              <w:jc w:val="right"/>
              <w:ind w:right="568"/>
              <w:spacing w:after="0"/>
              <w:rPr>
                <w:sz w:val="20"/>
                <w:szCs w:val="20"/>
                <w:color w:val="auto"/>
              </w:rPr>
            </w:pPr>
            <w:r>
              <w:rPr>
                <w:rFonts w:ascii="Arial" w:cs="Arial" w:eastAsia="Arial" w:hAnsi="Arial"/>
                <w:sz w:val="14"/>
                <w:szCs w:val="14"/>
                <w:color w:val="auto"/>
              </w:rPr>
              <w:t>~10,000</w:t>
            </w:r>
          </w:p>
        </w:tc>
        <w:tc>
          <w:tcPr>
            <w:tcW w:w="1920" w:type="dxa"/>
            <w:vAlign w:val="bottom"/>
            <w:gridSpan w:val="3"/>
          </w:tcPr>
          <w:p>
            <w:pPr>
              <w:jc w:val="right"/>
              <w:ind w:right="58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3"/>
        </w:trPr>
        <w:tc>
          <w:tcPr>
            <w:tcW w:w="6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Adjusted Free Cash Flow</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18,400</w:t>
            </w:r>
          </w:p>
        </w:tc>
        <w:tc>
          <w:tcPr>
            <w:tcW w:w="9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18,800</w:t>
            </w:r>
          </w:p>
        </w:tc>
        <w:tc>
          <w:tcPr>
            <w:tcW w:w="1000" w:type="dxa"/>
            <w:vAlign w:val="bottom"/>
            <w:gridSpan w:val="2"/>
            <w:shd w:val="clear" w:color="auto" w:fill="DBDBDB"/>
          </w:tcPr>
          <w:p>
            <w:pPr>
              <w:jc w:val="center"/>
              <w:ind w:left="8"/>
              <w:spacing w:after="0"/>
              <w:rPr>
                <w:sz w:val="20"/>
                <w:szCs w:val="20"/>
                <w:color w:val="auto"/>
              </w:rPr>
            </w:pPr>
            <w:r>
              <w:rPr>
                <w:rFonts w:ascii="Arial" w:cs="Arial" w:eastAsia="Arial" w:hAnsi="Arial"/>
                <w:sz w:val="14"/>
                <w:szCs w:val="14"/>
                <w:color w:val="auto"/>
              </w:rPr>
              <w:t>18,700</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18,800</w:t>
            </w:r>
          </w:p>
        </w:tc>
        <w:tc>
          <w:tcPr>
            <w:tcW w:w="94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-281940</wp:posOffset>
            </wp:positionV>
            <wp:extent cx="71234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-565150</wp:posOffset>
            </wp:positionV>
            <wp:extent cx="71234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75" w:lineRule="exact"/>
        <w:rPr>
          <w:sz w:val="20"/>
          <w:szCs w:val="20"/>
          <w:color w:val="auto"/>
        </w:rPr>
      </w:pPr>
    </w:p>
    <w:p>
      <w:pPr>
        <w:ind w:left="260" w:right="380" w:hanging="252"/>
        <w:spacing w:after="0" w:line="252" w:lineRule="auto"/>
        <w:tabs>
          <w:tab w:leader="none" w:pos="257" w:val="left"/>
        </w:tabs>
        <w:numPr>
          <w:ilvl w:val="0"/>
          <w:numId w:val="11"/>
        </w:numPr>
        <w:rPr>
          <w:rFonts w:ascii="Arial" w:cs="Arial" w:eastAsia="Arial" w:hAnsi="Arial"/>
          <w:sz w:val="11"/>
          <w:szCs w:val="11"/>
          <w:color w:val="auto"/>
        </w:rPr>
      </w:pPr>
      <w:r>
        <w:rPr>
          <w:rFonts w:ascii="Arial" w:cs="Arial" w:eastAsia="Arial" w:hAnsi="Arial"/>
          <w:sz w:val="11"/>
          <w:szCs w:val="11"/>
          <w:color w:val="auto"/>
        </w:rPr>
        <w:t>T-Mobile is not able to forecast Net income on a forward-looking basis without unreasonable efforts due to the high variability and difficulty in predicting certain items that affect GAAP Net income, including, but not limited to, Special Items, Income tax expense and Interest expense. Core Adjusted EBITDA should not be used to predict Net income as the difference between this measure and Net income is variable.</w:t>
      </w:r>
    </w:p>
    <w:p>
      <w:pPr>
        <w:ind w:left="240" w:hanging="232"/>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Management uses Core Adjusted EBITDA as a measure to monitor the financial performance of company operations, excluding the impact of lease revenues from related device financing programs.</w:t>
      </w:r>
    </w:p>
    <w:p>
      <w:pPr>
        <w:spacing w:after="0" w:line="5" w:lineRule="exact"/>
        <w:rPr>
          <w:rFonts w:ascii="Arial" w:cs="Arial" w:eastAsia="Arial" w:hAnsi="Arial"/>
          <w:sz w:val="11"/>
          <w:szCs w:val="11"/>
          <w:color w:val="auto"/>
        </w:rPr>
      </w:pPr>
    </w:p>
    <w:p>
      <w:pPr>
        <w:ind w:left="240" w:hanging="232"/>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Capital expenditures means cash purchases of property and equipment, including capitalized interest.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4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Financial Results</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more details on T-Mobile’s Q3 2026 financial results, including the Investor Factbook with detailed financial tables, please visit T-Mobile US, Inc.’s Investor Relations website at </w:t>
      </w:r>
      <w:r>
        <w:rPr>
          <w:rFonts w:ascii="Arial" w:cs="Arial" w:eastAsia="Arial" w:hAnsi="Arial"/>
          <w:sz w:val="18"/>
          <w:szCs w:val="18"/>
          <w:u w:val="single" w:color="auto"/>
          <w:color w:val="0000FF"/>
        </w:rPr>
        <w:t>https://investor.t-mobile.com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Call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Date/Time</w:t>
      </w:r>
    </w:p>
    <w:p>
      <w:pPr>
        <w:spacing w:after="0" w:line="7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Wednesday, October 28, 2026, at 4:30 p.m. (EDT)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Pre-registration link for dial-in access and personalized PIN</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Participants can pre-register for the conference call here in order to receive dial-in information and a personalized PIN. This option is recommended to avoid wait times when joining the call.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via Phone (audio only)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Please plan on accessing the call 10 minutes prior to the scheduled start time.</w:t>
      </w:r>
    </w:p>
    <w:p>
      <w:pPr>
        <w:spacing w:after="0" w:line="7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Toll Free: 1-844-539-1320</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International: 1-412-652-1263</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via Webcast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earnings call will be broadcast live and can be replayed via the Investor Relations website at </w:t>
      </w:r>
      <w:r>
        <w:rPr>
          <w:rFonts w:ascii="Arial" w:cs="Arial" w:eastAsia="Arial" w:hAnsi="Arial"/>
          <w:sz w:val="18"/>
          <w:szCs w:val="18"/>
          <w:u w:val="single" w:color="auto"/>
          <w:color w:val="0000FF"/>
        </w:rPr>
        <w:t>https://investor.t-mobile.com</w:t>
      </w:r>
      <w:r>
        <w:rPr>
          <w:rFonts w:ascii="Arial" w:cs="Arial" w:eastAsia="Arial" w:hAnsi="Arial"/>
          <w:sz w:val="18"/>
          <w:szCs w:val="18"/>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 Questions via 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Send a post to @TMobileIR or @SriniGopalan using $TMUS.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 Information</w:t>
      </w:r>
    </w:p>
    <w:p>
      <w:pPr>
        <w:spacing w:after="0" w:line="7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 xml:space="preserve">Media Relations: </w:t>
      </w:r>
      <w:r>
        <w:rPr>
          <w:rFonts w:ascii="Arial" w:cs="Arial" w:eastAsia="Arial" w:hAnsi="Arial"/>
          <w:sz w:val="18"/>
          <w:szCs w:val="18"/>
          <w:u w:val="single" w:color="auto"/>
          <w:color w:val="0000FF"/>
        </w:rPr>
        <w:t>mediarelations@t-mobile.com</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 xml:space="preserve">Investor Relations: </w:t>
      </w:r>
      <w:r>
        <w:rPr>
          <w:rFonts w:ascii="Arial" w:cs="Arial" w:eastAsia="Arial" w:hAnsi="Arial"/>
          <w:sz w:val="18"/>
          <w:szCs w:val="18"/>
          <w:u w:val="single" w:color="auto"/>
          <w:color w:val="0000FF"/>
        </w:rPr>
        <w:t>investor.relations@t-mobile.com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T-Mobile Social Media</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Investors and others should note that we announce material financial and operational information to our investors using our investor relations website (</w:t>
      </w:r>
      <w:r>
        <w:rPr>
          <w:rFonts w:ascii="Arial" w:cs="Arial" w:eastAsia="Arial" w:hAnsi="Arial"/>
          <w:sz w:val="18"/>
          <w:szCs w:val="18"/>
          <w:u w:val="single" w:color="auto"/>
          <w:color w:val="0000FF"/>
        </w:rPr>
        <w:t>https://investor.t-mobile.com</w:t>
      </w:r>
      <w:r>
        <w:rPr>
          <w:rFonts w:ascii="Arial" w:cs="Arial" w:eastAsia="Arial" w:hAnsi="Arial"/>
          <w:sz w:val="18"/>
          <w:szCs w:val="18"/>
          <w:color w:val="auto"/>
        </w:rPr>
        <w:t>), newsroom website (</w:t>
      </w:r>
      <w:r>
        <w:rPr>
          <w:rFonts w:ascii="Arial" w:cs="Arial" w:eastAsia="Arial" w:hAnsi="Arial"/>
          <w:sz w:val="18"/>
          <w:szCs w:val="18"/>
          <w:u w:val="single" w:color="auto"/>
          <w:color w:val="0000FF"/>
        </w:rPr>
        <w:t>https://t-mobile.com/news</w:t>
      </w:r>
      <w:r>
        <w:rPr>
          <w:rFonts w:ascii="Arial" w:cs="Arial" w:eastAsia="Arial" w:hAnsi="Arial"/>
          <w:sz w:val="18"/>
          <w:szCs w:val="18"/>
          <w:color w:val="auto"/>
        </w:rPr>
        <w:t>), press releases, SEC filings and public conference calls and webcasts. We also intend to use certain social media accounts as a means of disclosing information about us and our services and for complying with our disclosure obligations under Regulation FD (the @TMobileIR X account (</w:t>
      </w:r>
      <w:r>
        <w:rPr>
          <w:rFonts w:ascii="Arial" w:cs="Arial" w:eastAsia="Arial" w:hAnsi="Arial"/>
          <w:sz w:val="18"/>
          <w:szCs w:val="18"/>
          <w:u w:val="single" w:color="auto"/>
          <w:color w:val="0000FF"/>
        </w:rPr>
        <w:t>https://x.com/TMobileIR</w:t>
      </w:r>
      <w:r>
        <w:rPr>
          <w:rFonts w:ascii="Arial" w:cs="Arial" w:eastAsia="Arial" w:hAnsi="Arial"/>
          <w:sz w:val="18"/>
          <w:szCs w:val="18"/>
          <w:color w:val="auto"/>
        </w:rPr>
        <w:t>), the @SriniGopalan X account (https://x.com/SriniGopalan) and our CEO’s LinkedIn account (</w:t>
      </w:r>
      <w:r>
        <w:rPr>
          <w:rFonts w:ascii="Arial" w:cs="Arial" w:eastAsia="Arial" w:hAnsi="Arial"/>
          <w:sz w:val="18"/>
          <w:szCs w:val="18"/>
          <w:u w:val="single" w:color="auto"/>
          <w:color w:val="0000FF"/>
        </w:rPr>
        <w:t>https://www.linkedin.com/in/srini-gopalan/</w:t>
      </w:r>
      <w:r>
        <w:rPr>
          <w:rFonts w:ascii="Arial" w:cs="Arial" w:eastAsia="Arial" w:hAnsi="Arial"/>
          <w:sz w:val="18"/>
          <w:szCs w:val="18"/>
          <w:color w:val="auto"/>
        </w:rPr>
        <w:t>), both of which Mr. Gopalan also uses as a means for personal communications and observations, and the @TMobileCFO X account (</w:t>
      </w:r>
      <w:r>
        <w:rPr>
          <w:rFonts w:ascii="Arial" w:cs="Arial" w:eastAsia="Arial" w:hAnsi="Arial"/>
          <w:sz w:val="18"/>
          <w:szCs w:val="18"/>
          <w:u w:val="single" w:color="auto"/>
          <w:color w:val="0000FF"/>
        </w:rPr>
        <w:t>https://x.com/tmobilecfo</w:t>
      </w:r>
      <w:r>
        <w:rPr>
          <w:rFonts w:ascii="Arial" w:cs="Arial" w:eastAsia="Arial" w:hAnsi="Arial"/>
          <w:sz w:val="18"/>
          <w:szCs w:val="18"/>
          <w:color w:val="auto"/>
        </w:rPr>
        <w:t>), and our CFO’s LinkedIn account (</w:t>
      </w:r>
      <w:r>
        <w:rPr>
          <w:rFonts w:ascii="Arial" w:cs="Arial" w:eastAsia="Arial" w:hAnsi="Arial"/>
          <w:sz w:val="18"/>
          <w:szCs w:val="18"/>
          <w:u w:val="single" w:color="auto"/>
          <w:color w:val="0000FF"/>
        </w:rPr>
        <w:t>https://www.linkedin.com/in/peter-osvaldik-3887394</w:t>
      </w:r>
      <w:r>
        <w:rPr>
          <w:rFonts w:ascii="Arial" w:cs="Arial" w:eastAsia="Arial" w:hAnsi="Arial"/>
          <w:sz w:val="18"/>
          <w:szCs w:val="18"/>
          <w:color w:val="auto"/>
        </w:rPr>
        <w:t>), both of which Mr. Osvaldik also uses as a means for personal communications and observations). The information we post through these social media channels may be deemed material. Accordingly, investors should monitor these social media channels in addition to following our press releases, SEC filings and public conference calls and webcasts. The social media channels that we intend to use as a means of disclosing the information described above may be updated from time to time as listed on our investor relations website.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T-Mobile US, Inc.</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the supercharged Un-carrier, T-Mobile US, Inc. (NASDAQ: TMUS) is powered by an award-winning nationwide 5G Advanced network that connects more people, in more places, than ever before. With T-Mobile’s unique value proposition of best network, best value and best experiences, the Un-carrier is redefining connectivity and fueling competition while continuing to drive the next wave of innovation in wireless, broadband and beyond. Headquartered in Bellevue, Wash., T-Mobile provides services through its subsidiaries and operates its flagship brands, T-Mobile, Metro by T-Mobile and Mint Mobile. For more information, visit </w:t>
      </w:r>
      <w:r>
        <w:rPr>
          <w:rFonts w:ascii="Arial" w:cs="Arial" w:eastAsia="Arial" w:hAnsi="Arial"/>
          <w:sz w:val="18"/>
          <w:szCs w:val="18"/>
          <w:u w:val="single" w:color="auto"/>
          <w:color w:val="0000FF"/>
        </w:rPr>
        <w:t>https://www.t-mobile.com</w:t>
      </w:r>
      <w:r>
        <w:rPr>
          <w:rFonts w:ascii="Arial" w:cs="Arial" w:eastAsia="Arial" w:hAnsi="Arial"/>
          <w:sz w:val="18"/>
          <w:szCs w:val="18"/>
          <w:color w:val="auto"/>
        </w:rPr>
        <w:t>.</w:t>
      </w:r>
    </w:p>
    <w:p>
      <w:pPr>
        <w:sectPr>
          <w:pgSz w:w="11900" w:h="16838" w:orient="portrait"/>
          <w:cols w:equalWidth="0" w:num="1">
            <w:col w:w="11220"/>
          </w:cols>
          <w:pgMar w:left="320" w:top="1201"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1201"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Forward-Looking Statements</w:t>
      </w:r>
    </w:p>
    <w:p>
      <w:pPr>
        <w:spacing w:after="0" w:line="69"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This communication includes forward-looking statements within the meaning of the Private Securities Litigation Reform Act of 1995. All statements other than statements of historical fact, including information concerning T-Mobile US, Inc.’s future results of operations, are forward-looking statements. These forward-looking statements are generally identified by the words “anticipate,” “believe,” “estimate,” “expect,” “intend,” “may,” “could” or similar expressions.</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Forward-looking statements are based on current expectations and assumptions, which are subject to risks and uncertainties and may cause actual results to differ materially from the forward-looking statements. Important factors that could affect future results and cause those results to differ materially from those expressed in the forward-looking statements include, among others, the following: competition, industry consolidation and changes in the market for wireless communications services and other forms of connectivity; cyberattacks, disruptions, data loss or other security breaches; our inability to adopt and deploy network technologies in a timely and effective manner; our inability to effectively execute our digital initiatives and drive customer and employee adoption of emerging technologies; our inability to retain or motivate key personnel, hire qualified personnel or maintain our corporate culture; system failures and business disruptions, allowing for unauthorized use of or interference with our network and other systems; the scarcity and cost of additional wireless spectrum, and regulations relating to spectrum use; the timing and effects of any pending and future acquisition, investment, joint venture, merger or divestiture involving us, including our inability to obtain any required regulatory approval necessary to consummate any such transactions or to achieve the expected benefits of such transactions; adverse economic, political or market conditions in the U.S. and international markets, including changes resulting from increases in oil prices, inflation or interest rates, tariffs and trade restrictions, supply chain disruptions, fluctuations in global currencies, immigration policies, and impacts of geopolitical instability, such as global conflict, wars and further escalations thereof; operational delays, higher procurement costs, such as memory chip cost impacts on smartphones, and operational costs, and increased regulatory and compliance complexities, for example, as a result of changes to trade policies, including higher tariffs, restrictions and other economic disincentives to trade; our inability to successfully deliver new products and services; any failure or inability of our third parties (including key suppliers) to provide products or services for the operation of our business; sociopolitical volatility and polarization and risks related to environmental, social and governance matters; our substantial level of indebtedness and our inability to service our debt obligations in accordance with their terms; changes in the credit market conditions, credit rating downgrades or an inability to access debt markets; our inability to maintain effective internal control over financial reporting; compliance with the current regulatory framework, including our national security obligations, and any changes in regulations or in the regulatory framework under which we operate; laws and regulations relating to the handling of privacy, data protection and artificial intelligence; unfavorable outcomes of and increased costs from existing or future regulatory or legal proceedings; difficulties in protecting our intellectual property rights or if we infringe on the intellectual property rights of others; our offering of regulated financial services products and exposure to a wide variety of state and federal regulations; new or amended tax laws or regulations or administrative interpretations and judicial decisions affecting the scope or application of tax laws or regulations; our wireless licenses, including those controlled through leasing agreements, are subject to renewal and may be revoked; our exclusive forum provision as provided in our Certificate of Incorporation; interests of Deutsche Telekom AG (“DT”), our controlling stockholder, which may differ from the interests of other stockholders; our current and future stockholder return programs may not be fully utilized, and our share repurchases and dividend payments pursuant thereto may fail to have the desired impact on stockholder value; future sales of our common stock by DT and our inability to attract additional equity financing outside the United States due to foreign ownership limitations by the Federal Communications Commission; and other risks as disclosed in our most recent annual report on Form 10-K, and subsequent Forms 10-Q and other filings with the Securities and Exchange Commission. Given these risks and uncertainties, readers are cautioned not to place undue reliance on such forward-looking statements. We undertake no obligation to revise or publicly release the results of any revision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0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T-Mobile 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Press Release includes non-GAAP financial measures, including Adjusted EBITDA, Core Adjusted EBITDA, Adjusted Free Cash Flow and Adjusted Free Cash Flow margin. The non-GAAP financial measures should be considered in addition to, but not as a substitute for, the information provided in accordance with GAAP. Reconciliations for the non-GAAP financial measures to the most directly comparable GAAP financial measures are provided below. T-Mobile is not able to forecast Net income on a forward-looking basis without unreasonable efforts due to the high variability and difficulty in predicting certain items that affect GAAP Net income, including, but not limited to, Special Items, Income tax expense and Interest expense. Adjusted EBITDA and Core Adjusted EBITDA should not be used to predict Net income as the difference between either of these measures and Net income is variable.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and Core Adjusted EBITDA are reconciled to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23430" cy="523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52324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404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2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20" w:type="dxa"/>
            <w:vAlign w:val="bottom"/>
            <w:vMerge w:val="restart"/>
            <w:shd w:val="clear" w:color="auto" w:fill="E20074"/>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0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400" w:type="dxa"/>
            <w:vAlign w:val="bottom"/>
            <w:gridSpan w:val="4"/>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4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2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2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0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400" w:type="dxa"/>
            <w:vAlign w:val="bottom"/>
            <w:gridSpan w:val="4"/>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E20074"/>
            </w:tcBorders>
            <w:shd w:val="clear" w:color="auto" w:fill="E20074"/>
          </w:tcPr>
          <w:p>
            <w:pPr>
              <w:spacing w:after="0"/>
              <w:rPr>
                <w:sz w:val="18"/>
                <w:szCs w:val="18"/>
                <w:color w:val="auto"/>
              </w:rPr>
            </w:pPr>
          </w:p>
        </w:tc>
        <w:tc>
          <w:tcPr>
            <w:tcW w:w="6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8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w w:val="97"/>
              </w:rPr>
              <w:t>Q3 2025</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w w:val="97"/>
              </w:rPr>
              <w:t>Q1 2026</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w w:val="97"/>
              </w:rPr>
              <w:t>Q3 2026</w:t>
            </w:r>
          </w:p>
        </w:tc>
        <w:tc>
          <w:tcPr>
            <w:tcW w:w="10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560" w:type="dxa"/>
            <w:vAlign w:val="bottom"/>
            <w:tcBorders>
              <w:bottom w:val="single" w:sz="8" w:color="E20074"/>
            </w:tcBorders>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UScellular merger-related costs</w:t>
            </w: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Network restructuring initiative costs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Legal-related expenses (recoveries), net </w:t>
            </w:r>
            <w:r>
              <w:rPr>
                <w:rFonts w:ascii="Times New Roman" w:cs="Times New Roman" w:eastAsia="Times New Roman" w:hAnsi="Times New Roman"/>
                <w:sz w:val="18"/>
                <w:szCs w:val="18"/>
                <w:color w:val="auto"/>
                <w:vertAlign w:val="superscript"/>
              </w:rPr>
              <w:t>(3)</w:t>
            </w: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expense</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Other, net </w:t>
            </w:r>
            <w:r>
              <w:rPr>
                <w:rFonts w:ascii="Times New Roman" w:cs="Times New Roman" w:eastAsia="Times New Roman" w:hAnsi="Times New Roman"/>
                <w:sz w:val="18"/>
                <w:szCs w:val="18"/>
                <w:color w:val="auto"/>
                <w:vertAlign w:val="superscript"/>
              </w:rPr>
              <w:t>(4)</w:t>
            </w:r>
          </w:p>
        </w:tc>
        <w:tc>
          <w:tcPr>
            <w:tcW w:w="10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Lease revenues</w:t>
            </w:r>
          </w:p>
        </w:tc>
        <w:tc>
          <w:tcPr>
            <w:tcW w:w="1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Core 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28,397</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-299720</wp:posOffset>
            </wp:positionV>
            <wp:extent cx="825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-582295</wp:posOffset>
            </wp:positionV>
            <wp:extent cx="825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-1688465</wp:posOffset>
            </wp:positionV>
            <wp:extent cx="825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11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Stock-based compensation includes payroll tax impacts and may not agree to stock-based compensation expense in the Condensed Consolidated Financial Statements.</w:t>
      </w:r>
    </w:p>
    <w:p>
      <w:pPr>
        <w:spacing w:after="0" w:line="66" w:lineRule="exact"/>
        <w:rPr>
          <w:rFonts w:ascii="Arial" w:cs="Arial" w:eastAsia="Arial" w:hAnsi="Arial"/>
          <w:sz w:val="13"/>
          <w:szCs w:val="13"/>
          <w:color w:val="auto"/>
        </w:rPr>
      </w:pPr>
    </w:p>
    <w:p>
      <w:pPr>
        <w:ind w:left="340" w:right="20" w:hanging="332"/>
        <w:spacing w:after="0" w:line="281" w:lineRule="auto"/>
        <w:tabs>
          <w:tab w:leader="none" w:pos="329"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Q4 2025, we began implementing network restructuring initiatives as a result of recent technological advancements that enhanced our Customer-Driven Coverage insights. Network restructuring initiative costs consist of network decommissioning and contract termination costs related to the rationalization of our network and backhaul services and the elimination of duplicative costs.</w:t>
      </w:r>
    </w:p>
    <w:p>
      <w:pPr>
        <w:spacing w:after="0" w:line="14" w:lineRule="exact"/>
        <w:rPr>
          <w:rFonts w:ascii="Arial" w:cs="Arial" w:eastAsia="Arial" w:hAnsi="Arial"/>
          <w:sz w:val="13"/>
          <w:szCs w:val="13"/>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Legal-related expenses (recoveries), net consists of the settlement of certain litigation and compliance costs associated with the August 2021 cyberattack, net of insurance recoveries.</w:t>
      </w:r>
    </w:p>
    <w:p>
      <w:pPr>
        <w:spacing w:after="0" w:line="66" w:lineRule="exact"/>
        <w:rPr>
          <w:rFonts w:ascii="Arial" w:cs="Arial" w:eastAsia="Arial" w:hAnsi="Arial"/>
          <w:sz w:val="13"/>
          <w:szCs w:val="13"/>
          <w:color w:val="auto"/>
        </w:rPr>
      </w:pPr>
    </w:p>
    <w:p>
      <w:pPr>
        <w:ind w:left="340" w:right="60" w:hanging="332"/>
        <w:spacing w:after="0" w:line="267" w:lineRule="auto"/>
        <w:tabs>
          <w:tab w:leader="none" w:pos="329"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net, primarily consists of certain severance, restructuring and other expenses, gains and losses, not directly attributable to the UScellular acquisition, which are not reflective of T-Mobile’s ongoing core business activities and are, therefore, excluded from Adjusted EBITDA and Core Adjusted EBITDA. Other, net, for the three months ended March 31, 2026 and December 31, 2025, includes $141 million and $390 million, respectively, and $141 million for the nine months ended September 30, 2026, of severance and related costs associated with the 2025-2026 workforce transformation and reinvestment initiative. Additionally, Other, net, for the three months ended September 30, 2026 and June 30, 2026, includes $50 million and $108 million, respectively, and $158 million for the nine months ended September 30, 2026, of costs associated with retail initiatives to close certain dealer-and corporate-owned stores in connection with our ongoing digital initiatives to simplify routine transactions, as well as enhance customer experiences by transitioning in part to large-format experience stores.</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Adjusted EBITDA represents earnings before Interest expense, net of Interest income, Income tax expense, Depreciation and amortization, stock-based compensation and certain expenses, gains and losses, which are not reflective of our ongoing operating performance (“Special Items”). Special Items include UScellular merger-related costs, network restructuring initiative costs (as discussed above), certain legal-related expenses and recoveries, Impairment expense, restructuring costs not directly attributable to the UScellular acquisition (including severance), and other non-core gains and losses. Core Adjusted EBITDA represents Adjusted EBITDA less device lease revenues. Core Adjusted EBITDA and Adjusted EBITDA are non-GAAP financial measures utilized by T-Mobile’s management, including our chief operating decision maker, to monitor the financial performance of our operations and allocate resources of the Company as a whole. T-Mobile historically used Adjusted EBITDA and T-Mobile currently uses Core Adjusted EBITDA internally as a measure to evaluate and compensate its personnel and management for their performance. T-Mobile uses Adjusted EBITDA and Core Adjusted EBITDA as benchmarks to evaluate its operating performance in comparison to competitors. Management believes analysts and investors use Core Adjusted EBITDA and Adjusted EBITDA as supplemental measures to evaluate overall operating performance and to facilitate comparisons with other wireless communications and broadband services companies because they are indicative of T-Mobile’s ongoing operating performance and trends by excluding the impact of Interest expense from financing, depreciation and amortization from capital investments, stock-based compensation and Special Items. Management believes analysts and investors use Core Adjusted EBITDA because it normalizes for the transition in the Company’s device financing strategy, by excluding the impact of device lease revenues from Adjusted EBITDA, to align with the exclusion of the related depreciation expense on leased devices from Adjusted EBITDA. Core Adjusted EBITDA and Adjusted EBITDA have limitations as analytical tools and should not be considered in isolation or as substitutes for Income from operations, Net income or any other measure of financial performance reported in accordance with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T-Mobile 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to GAAP Financial Measures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Adjusted Free Cash Flow and Adjusted Free Cash Flow margin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80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78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78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780" w:type="dxa"/>
            <w:vAlign w:val="bottom"/>
            <w:vMerge w:val="restart"/>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80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8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80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shd w:val="clear" w:color="auto" w:fill="E20074"/>
          </w:tcPr>
          <w:p>
            <w:pPr>
              <w:ind w:left="240"/>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80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78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8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8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80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8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80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shd w:val="clear" w:color="auto" w:fill="E20074"/>
          </w:tcPr>
          <w:p>
            <w:pPr>
              <w:ind w:left="420"/>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09"/>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0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80" w:type="dxa"/>
            <w:vAlign w:val="bottom"/>
          </w:tcPr>
          <w:p>
            <w:pPr>
              <w:spacing w:after="0"/>
              <w:rPr>
                <w:sz w:val="18"/>
                <w:szCs w:val="18"/>
                <w:color w:val="auto"/>
              </w:rPr>
            </w:pPr>
          </w:p>
        </w:tc>
        <w:tc>
          <w:tcPr>
            <w:tcW w:w="78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00" w:type="dxa"/>
            <w:vAlign w:val="bottom"/>
          </w:tcPr>
          <w:p>
            <w:pPr>
              <w:spacing w:after="0"/>
              <w:rPr>
                <w:sz w:val="18"/>
                <w:szCs w:val="18"/>
                <w:color w:val="auto"/>
              </w:rPr>
            </w:pPr>
          </w:p>
        </w:tc>
        <w:tc>
          <w:tcPr>
            <w:tcW w:w="78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00" w:type="dxa"/>
            <w:vAlign w:val="bottom"/>
          </w:tcPr>
          <w:p>
            <w:pPr>
              <w:spacing w:after="0"/>
              <w:rPr>
                <w:sz w:val="18"/>
                <w:szCs w:val="18"/>
                <w:color w:val="auto"/>
              </w:rPr>
            </w:pPr>
          </w:p>
        </w:tc>
        <w:tc>
          <w:tcPr>
            <w:tcW w:w="78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80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80" w:type="dxa"/>
            <w:vAlign w:val="bottom"/>
          </w:tcPr>
          <w:p>
            <w:pPr>
              <w:spacing w:after="0"/>
              <w:rPr>
                <w:sz w:val="18"/>
                <w:szCs w:val="18"/>
                <w:color w:val="auto"/>
              </w:rPr>
            </w:pPr>
          </w:p>
        </w:tc>
        <w:tc>
          <w:tcPr>
            <w:tcW w:w="80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00" w:type="dxa"/>
            <w:vAlign w:val="bottom"/>
          </w:tcPr>
          <w:p>
            <w:pPr>
              <w:spacing w:after="0"/>
              <w:rPr>
                <w:sz w:val="18"/>
                <w:szCs w:val="18"/>
                <w:color w:val="auto"/>
              </w:rPr>
            </w:pPr>
          </w:p>
        </w:tc>
        <w:tc>
          <w:tcPr>
            <w:tcW w:w="80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00" w:type="dxa"/>
            <w:vAlign w:val="bottom"/>
          </w:tcPr>
          <w:p>
            <w:pPr>
              <w:spacing w:after="0"/>
              <w:rPr>
                <w:sz w:val="18"/>
                <w:szCs w:val="18"/>
                <w:color w:val="auto"/>
              </w:rPr>
            </w:pPr>
          </w:p>
        </w:tc>
        <w:tc>
          <w:tcPr>
            <w:tcW w:w="800" w:type="dxa"/>
            <w:vAlign w:val="bottom"/>
            <w:tcBorders>
              <w:bottom w:val="single" w:sz="8" w:color="E20074"/>
            </w:tcBorders>
            <w:shd w:val="clear" w:color="auto" w:fill="E20074"/>
          </w:tcPr>
          <w:p>
            <w:pPr>
              <w:ind w:left="26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800" w:type="dxa"/>
            <w:vAlign w:val="bottom"/>
            <w:tcBorders>
              <w:bottom w:val="single" w:sz="8" w:color="E20074"/>
            </w:tcBorders>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6"/>
        </w:trPr>
        <w:tc>
          <w:tcPr>
            <w:tcW w:w="3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0" w:type="dxa"/>
            <w:vAlign w:val="bottom"/>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auto"/>
              </w:rPr>
              <w:t>$   6,847</w:t>
            </w:r>
          </w:p>
        </w:tc>
        <w:tc>
          <w:tcPr>
            <w:tcW w:w="86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6,992</w:t>
            </w:r>
          </w:p>
        </w:tc>
        <w:tc>
          <w:tcPr>
            <w:tcW w:w="88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7,457</w:t>
            </w:r>
          </w:p>
        </w:tc>
        <w:tc>
          <w:tcPr>
            <w:tcW w:w="88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6,654</w:t>
            </w:r>
          </w:p>
        </w:tc>
        <w:tc>
          <w:tcPr>
            <w:tcW w:w="90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7,222</w:t>
            </w:r>
          </w:p>
        </w:tc>
        <w:tc>
          <w:tcPr>
            <w:tcW w:w="88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7,500</w:t>
            </w:r>
          </w:p>
        </w:tc>
        <w:tc>
          <w:tcPr>
            <w:tcW w:w="90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7,341</w:t>
            </w:r>
          </w:p>
        </w:tc>
        <w:tc>
          <w:tcPr>
            <w:tcW w:w="90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21,296</w:t>
            </w:r>
          </w:p>
        </w:tc>
        <w:tc>
          <w:tcPr>
            <w:tcW w:w="90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  22,063</w:t>
            </w:r>
          </w:p>
        </w:tc>
        <w:tc>
          <w:tcPr>
            <w:tcW w:w="0" w:type="dxa"/>
            <w:vAlign w:val="bottom"/>
          </w:tcPr>
          <w:p>
            <w:pPr>
              <w:spacing w:after="0"/>
              <w:rPr>
                <w:sz w:val="1"/>
                <w:szCs w:val="1"/>
                <w:color w:val="auto"/>
              </w:rPr>
            </w:pPr>
          </w:p>
        </w:tc>
      </w:tr>
      <w:tr>
        <w:trPr>
          <w:trHeight w:val="23"/>
        </w:trPr>
        <w:tc>
          <w:tcPr>
            <w:tcW w:w="332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093" w:right="339" w:bottom="1440" w:gutter="0" w:footer="0" w:header="0"/>
        </w:sectPr>
      </w:pPr>
    </w:p>
    <w:p>
      <w:pPr>
        <w:ind w:left="20" w:right="180"/>
        <w:spacing w:after="0" w:line="261" w:lineRule="auto"/>
        <w:rPr>
          <w:sz w:val="20"/>
          <w:szCs w:val="20"/>
          <w:color w:val="auto"/>
        </w:rPr>
      </w:pPr>
      <w:r>
        <w:rPr>
          <w:rFonts w:ascii="Times New Roman" w:cs="Times New Roman" w:eastAsia="Times New Roman" w:hAnsi="Times New Roman"/>
          <w:sz w:val="14"/>
          <w:szCs w:val="14"/>
          <w:color w:val="auto"/>
        </w:rPr>
        <w:t>Cash purchases of property and equipment, including capitalized interest</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Adjusted Free Cash Flow</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cash provided by operating activities margin</w:t>
      </w:r>
    </w:p>
    <w:p>
      <w:pPr>
        <w:spacing w:after="0" w:line="4" w:lineRule="exact"/>
        <w:rPr>
          <w:sz w:val="20"/>
          <w:szCs w:val="20"/>
          <w:color w:val="auto"/>
        </w:rPr>
      </w:pPr>
    </w:p>
    <w:p>
      <w:pPr>
        <w:ind w:left="220"/>
        <w:spacing w:after="0" w:line="229" w:lineRule="auto"/>
        <w:rPr>
          <w:sz w:val="20"/>
          <w:szCs w:val="20"/>
          <w:color w:val="auto"/>
        </w:rPr>
      </w:pPr>
      <w:r>
        <w:rPr>
          <w:rFonts w:ascii="Times New Roman" w:cs="Times New Roman" w:eastAsia="Times New Roman" w:hAnsi="Times New Roman"/>
          <w:sz w:val="14"/>
          <w:szCs w:val="14"/>
          <w:color w:val="auto"/>
        </w:rPr>
        <w:t>(Net cash provided by operating activities divided by Service revenues)</w:t>
      </w:r>
    </w:p>
    <w:p>
      <w:pPr>
        <w:spacing w:after="0" w:line="28" w:lineRule="exact"/>
        <w:rPr>
          <w:sz w:val="20"/>
          <w:szCs w:val="20"/>
          <w:color w:val="auto"/>
        </w:rPr>
      </w:pPr>
    </w:p>
    <w:p>
      <w:pPr>
        <w:ind w:left="220" w:right="240"/>
        <w:spacing w:after="0" w:line="261" w:lineRule="auto"/>
        <w:rPr>
          <w:sz w:val="20"/>
          <w:szCs w:val="20"/>
          <w:color w:val="auto"/>
        </w:rPr>
      </w:pPr>
      <w:r>
        <w:rPr>
          <w:rFonts w:ascii="Times New Roman" w:cs="Times New Roman" w:eastAsia="Times New Roman" w:hAnsi="Times New Roman"/>
          <w:sz w:val="14"/>
          <w:szCs w:val="14"/>
          <w:color w:val="auto"/>
        </w:rPr>
        <w:t>Adjusted Free Cash Flow margin (Adjusted Free Cash Flow divided by Service revenues)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(2,469)</w:t>
            </w:r>
          </w:p>
        </w:tc>
        <w:tc>
          <w:tcPr>
            <w:tcW w:w="1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(2,623)</w:t>
            </w:r>
          </w:p>
        </w:tc>
        <w:tc>
          <w:tcPr>
            <w:tcW w:w="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(7,486)</w:t>
            </w:r>
          </w:p>
        </w:tc>
        <w:tc>
          <w:tcPr>
            <w:tcW w:w="1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(7,596)</w:t>
            </w:r>
          </w:p>
        </w:tc>
      </w:tr>
      <w:tr>
        <w:trPr>
          <w:trHeight w:val="23"/>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4,396</w:t>
            </w:r>
          </w:p>
        </w:tc>
        <w:tc>
          <w:tcPr>
            <w:tcW w:w="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4,596</w:t>
            </w:r>
          </w:p>
        </w:tc>
        <w:tc>
          <w:tcPr>
            <w:tcW w:w="1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4,818</w:t>
            </w:r>
          </w:p>
        </w:tc>
        <w:tc>
          <w:tcPr>
            <w:tcW w:w="1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4,185</w:t>
            </w:r>
          </w:p>
        </w:tc>
        <w:tc>
          <w:tcPr>
            <w:tcW w:w="10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4,599</w:t>
            </w:r>
          </w:p>
        </w:tc>
        <w:tc>
          <w:tcPr>
            <w:tcW w:w="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4,797</w:t>
            </w:r>
          </w:p>
        </w:tc>
        <w:tc>
          <w:tcPr>
            <w:tcW w:w="10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5,071</w:t>
            </w:r>
          </w:p>
        </w:tc>
        <w:tc>
          <w:tcPr>
            <w:tcW w:w="10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13,810</w:t>
            </w:r>
          </w:p>
        </w:tc>
        <w:tc>
          <w:tcPr>
            <w:tcW w:w="10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14,467</w:t>
            </w:r>
          </w:p>
        </w:tc>
      </w:tr>
      <w:tr>
        <w:trPr>
          <w:trHeight w:val="30"/>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6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38.6 %</w:t>
            </w:r>
          </w:p>
        </w:tc>
      </w:tr>
      <w:tr>
        <w:trPr>
          <w:trHeight w:val="351"/>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-678815</wp:posOffset>
            </wp:positionV>
            <wp:extent cx="712343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-207645</wp:posOffset>
            </wp:positionV>
            <wp:extent cx="712343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280" w:space="40"/>
            <w:col w:w="7920"/>
          </w:cols>
          <w:pgMar w:left="320" w:top="1093" w:right="339" w:bottom="1440" w:gutter="0" w:footer="0" w:header="0"/>
          <w:type w:val="continuous"/>
        </w:sectPr>
      </w:pPr>
    </w:p>
    <w:p>
      <w:pPr>
        <w:ind w:right="120"/>
        <w:spacing w:after="0" w:line="273" w:lineRule="auto"/>
        <w:rPr>
          <w:sz w:val="20"/>
          <w:szCs w:val="20"/>
          <w:color w:val="auto"/>
        </w:rPr>
      </w:pPr>
      <w:r>
        <w:rPr>
          <w:rFonts w:ascii="Arial" w:cs="Arial" w:eastAsia="Arial" w:hAnsi="Arial"/>
          <w:sz w:val="14"/>
          <w:szCs w:val="14"/>
          <w:color w:val="auto"/>
        </w:rPr>
        <w:t>Adjusted Free Cash Flow - Net cash provided by operating activities less cash payments for purchases of property and equipment, including capitalized interest. Adjusted Free Cash Flow is utilized by T-Mobile’s management, investors and analysts to evaluate cash available to pay debt, repurchase shares, pay dividends and provide further investment in the business.</w:t>
      </w:r>
    </w:p>
    <w:p>
      <w:pPr>
        <w:spacing w:after="0" w:line="1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Adjusted Free Cash Flow margin - Adjusted Free Cash Flow divided by Service revenues. Adjusted Free Cash Flow margin is utilized by T-Mobile’s management, investors, and analysts to evaluate the company’s ability to convert service revenue efficiently into cash available to pay debt, repurchase shares, pay dividends and provide further investment in the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394335"/>
                    </a:xfrm>
                    <a:prstGeom prst="rect">
                      <a:avLst/>
                    </a:prstGeom>
                    <a:noFill/>
                  </pic:spPr>
                </pic:pic>
              </a:graphicData>
            </a:graphic>
          </wp:anchor>
        </w:drawing>
        <w:t>T-Mobile US,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Postpaid ARPA: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523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2324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00" w:type="dxa"/>
            <w:vAlign w:val="bottom"/>
          </w:tcPr>
          <w:p>
            <w:pPr>
              <w:spacing w:after="0"/>
              <w:rPr>
                <w:sz w:val="14"/>
                <w:szCs w:val="14"/>
                <w:color w:val="auto"/>
              </w:rPr>
            </w:pPr>
          </w:p>
        </w:tc>
        <w:tc>
          <w:tcPr>
            <w:tcW w:w="74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7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720" w:type="dxa"/>
            <w:vAlign w:val="bottom"/>
            <w:vMerge w:val="restart"/>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74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2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74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2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4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2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00" w:type="dxa"/>
            <w:vAlign w:val="bottom"/>
          </w:tcPr>
          <w:p>
            <w:pPr>
              <w:spacing w:after="0"/>
              <w:rPr>
                <w:sz w:val="18"/>
                <w:szCs w:val="18"/>
                <w:color w:val="auto"/>
              </w:rPr>
            </w:pPr>
          </w:p>
        </w:tc>
        <w:tc>
          <w:tcPr>
            <w:tcW w:w="7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00" w:type="dxa"/>
            <w:vAlign w:val="bottom"/>
          </w:tcPr>
          <w:p>
            <w:pPr>
              <w:spacing w:after="0"/>
              <w:rPr>
                <w:sz w:val="18"/>
                <w:szCs w:val="18"/>
                <w:color w:val="auto"/>
              </w:rPr>
            </w:pPr>
          </w:p>
        </w:tc>
        <w:tc>
          <w:tcPr>
            <w:tcW w:w="720" w:type="dxa"/>
            <w:vAlign w:val="bottom"/>
            <w:tcBorders>
              <w:bottom w:val="single" w:sz="8" w:color="E20074"/>
            </w:tcBorders>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74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8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2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00" w:type="dxa"/>
            <w:vAlign w:val="bottom"/>
          </w:tcPr>
          <w:p>
            <w:pPr>
              <w:spacing w:after="0"/>
              <w:rPr>
                <w:sz w:val="18"/>
                <w:szCs w:val="18"/>
                <w:color w:val="auto"/>
              </w:rPr>
            </w:pPr>
          </w:p>
        </w:tc>
        <w:tc>
          <w:tcPr>
            <w:tcW w:w="720" w:type="dxa"/>
            <w:vAlign w:val="bottom"/>
            <w:tcBorders>
              <w:bottom w:val="single" w:sz="8" w:color="E20074"/>
            </w:tcBorders>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160" w:type="dxa"/>
            <w:vAlign w:val="bottom"/>
            <w:tcBorders>
              <w:bottom w:val="single" w:sz="8" w:color="E20074"/>
            </w:tcBorders>
            <w:shd w:val="clear" w:color="auto" w:fill="E20074"/>
          </w:tcPr>
          <w:p>
            <w:pPr>
              <w:spacing w:after="0"/>
              <w:rPr>
                <w:sz w:val="18"/>
                <w:szCs w:val="18"/>
                <w:color w:val="auto"/>
              </w:rPr>
            </w:pPr>
          </w:p>
        </w:tc>
        <w:tc>
          <w:tcPr>
            <w:tcW w:w="560" w:type="dxa"/>
            <w:vAlign w:val="bottom"/>
            <w:tcBorders>
              <w:bottom w:val="single" w:sz="8" w:color="E20074"/>
            </w:tcBorders>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6"/>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Postpaid ARPA</w:t>
            </w: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   146.22</w:t>
            </w:r>
          </w:p>
        </w:tc>
        <w:tc>
          <w:tcPr>
            <w:tcW w:w="20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149.87</w:t>
            </w:r>
          </w:p>
        </w:tc>
        <w:tc>
          <w:tcPr>
            <w:tcW w:w="8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   149.44</w:t>
            </w:r>
          </w:p>
        </w:tc>
        <w:tc>
          <w:tcPr>
            <w:tcW w:w="8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   150.17</w:t>
            </w:r>
          </w:p>
        </w:tc>
        <w:tc>
          <w:tcPr>
            <w:tcW w:w="840" w:type="dxa"/>
            <w:vAlign w:val="bottom"/>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   151.93</w:t>
            </w:r>
          </w:p>
        </w:tc>
        <w:tc>
          <w:tcPr>
            <w:tcW w:w="20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152.91</w:t>
            </w:r>
          </w:p>
        </w:tc>
        <w:tc>
          <w:tcPr>
            <w:tcW w:w="20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155.73</w:t>
            </w:r>
          </w:p>
        </w:tc>
        <w:tc>
          <w:tcPr>
            <w:tcW w:w="8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   148.54</w:t>
            </w:r>
          </w:p>
        </w:tc>
        <w:tc>
          <w:tcPr>
            <w:tcW w:w="260" w:type="dxa"/>
            <w:vAlign w:val="bottom"/>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153.53</w:t>
            </w:r>
          </w:p>
        </w:tc>
        <w:tc>
          <w:tcPr>
            <w:tcW w:w="0" w:type="dxa"/>
            <w:vAlign w:val="bottom"/>
          </w:tcPr>
          <w:p>
            <w:pPr>
              <w:spacing w:after="0"/>
              <w:rPr>
                <w:sz w:val="1"/>
                <w:szCs w:val="1"/>
                <w:color w:val="auto"/>
              </w:rPr>
            </w:pPr>
          </w:p>
        </w:tc>
      </w:tr>
      <w:tr>
        <w:trPr>
          <w:trHeight w:val="23"/>
        </w:trPr>
        <w:tc>
          <w:tcPr>
            <w:tcW w:w="3900" w:type="dxa"/>
            <w:vAlign w:val="bottom"/>
            <w:shd w:val="clear" w:color="auto" w:fill="DBDBDB"/>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Postpaid ARPA - Average monthly postpaid service revenue earned per account. Postpaid service revenues for the specified period divided by the average number of postpaid accounts during the period, further divided by the number of months in the period.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93" w:right="359" w:bottom="1440" w:gutter="0" w:footer="0" w:header="0"/>
        </w:sectPr>
      </w:pPr>
    </w:p>
    <w:bookmarkStart w:id="12" w:name="page13"/>
    <w:bookmarkEnd w:id="12"/>
    <w:p>
      <w:pPr>
        <w:ind w:left="91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12065</wp:posOffset>
            </wp:positionV>
            <wp:extent cx="6172200" cy="8041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8041005"/>
                    </a:xfrm>
                    <a:prstGeom prst="rect">
                      <a:avLst/>
                    </a:prstGeom>
                    <a:noFill/>
                  </pic:spPr>
                </pic:pic>
              </a:graphicData>
            </a:graphic>
          </wp:anchor>
        </w:drawing>
      </w:r>
    </w:p>
    <w:p>
      <w:pPr>
        <w:sectPr>
          <w:pgSz w:w="11900" w:h="16838" w:orient="portrait"/>
          <w:cols w:equalWidth="0" w:num="1">
            <w:col w:w="10120"/>
          </w:cols>
          <w:pgMar w:left="1440" w:top="773" w:right="339" w:bottom="1440" w:gutter="0" w:footer="0" w:header="0"/>
        </w:sectPr>
      </w:pPr>
    </w:p>
    <w:bookmarkStart w:id="13" w:name="page14"/>
    <w:bookmarkEnd w:id="13"/>
    <w:p>
      <w:pPr>
        <w:jc w:val="center"/>
        <w:ind w:left="1042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2880" w:type="dxa"/>
            <w:vAlign w:val="bottom"/>
            <w:tcBorders>
              <w:right w:val="single" w:sz="8" w:color="E20074"/>
            </w:tcBorders>
          </w:tcPr>
          <w:p>
            <w:pPr>
              <w:jc w:val="center"/>
              <w:ind w:left="458"/>
              <w:spacing w:after="0"/>
              <w:rPr>
                <w:sz w:val="20"/>
                <w:szCs w:val="20"/>
                <w:color w:val="auto"/>
              </w:rPr>
            </w:pPr>
            <w:r>
              <w:rPr>
                <w:rFonts w:ascii="Arial" w:cs="Arial" w:eastAsia="Arial" w:hAnsi="Arial"/>
                <w:sz w:val="32"/>
                <w:szCs w:val="32"/>
                <w:b w:val="1"/>
                <w:bCs w:val="1"/>
                <w:color w:val="auto"/>
              </w:rPr>
              <w:t>3</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Highlights</w:t>
            </w:r>
          </w:p>
        </w:tc>
      </w:tr>
      <w:tr>
        <w:trPr>
          <w:trHeight w:val="392"/>
        </w:trPr>
        <w:tc>
          <w:tcPr>
            <w:tcW w:w="2880" w:type="dxa"/>
            <w:vAlign w:val="bottom"/>
            <w:tcBorders>
              <w:right w:val="single" w:sz="8" w:color="E20074"/>
            </w:tcBorders>
          </w:tcPr>
          <w:p>
            <w:pPr>
              <w:jc w:val="center"/>
              <w:ind w:left="458"/>
              <w:spacing w:after="0"/>
              <w:rPr>
                <w:sz w:val="20"/>
                <w:szCs w:val="20"/>
                <w:color w:val="auto"/>
              </w:rPr>
            </w:pPr>
            <w:r>
              <w:rPr>
                <w:rFonts w:ascii="Arial" w:cs="Arial" w:eastAsia="Arial" w:hAnsi="Arial"/>
                <w:sz w:val="32"/>
                <w:szCs w:val="32"/>
                <w:b w:val="1"/>
                <w:bCs w:val="1"/>
                <w:color w:val="auto"/>
              </w:rPr>
              <w:t>4</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Account Metrics</w:t>
            </w:r>
          </w:p>
        </w:tc>
      </w:tr>
      <w:tr>
        <w:trPr>
          <w:trHeight w:val="392"/>
        </w:trPr>
        <w:tc>
          <w:tcPr>
            <w:tcW w:w="2880" w:type="dxa"/>
            <w:vAlign w:val="bottom"/>
            <w:tcBorders>
              <w:right w:val="single" w:sz="8" w:color="E20074"/>
            </w:tcBorders>
          </w:tcPr>
          <w:p>
            <w:pPr>
              <w:jc w:val="center"/>
              <w:ind w:left="458"/>
              <w:spacing w:after="0"/>
              <w:rPr>
                <w:sz w:val="20"/>
                <w:szCs w:val="20"/>
                <w:color w:val="auto"/>
              </w:rPr>
            </w:pPr>
            <w:r>
              <w:rPr>
                <w:rFonts w:ascii="Arial" w:cs="Arial" w:eastAsia="Arial" w:hAnsi="Arial"/>
                <w:sz w:val="32"/>
                <w:szCs w:val="32"/>
                <w:b w:val="1"/>
                <w:bCs w:val="1"/>
                <w:color w:val="auto"/>
              </w:rPr>
              <w:t>6</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Financial Metrics</w:t>
            </w:r>
          </w:p>
        </w:tc>
      </w:tr>
      <w:tr>
        <w:trPr>
          <w:trHeight w:val="391"/>
        </w:trPr>
        <w:tc>
          <w:tcPr>
            <w:tcW w:w="2880" w:type="dxa"/>
            <w:vAlign w:val="bottom"/>
            <w:tcBorders>
              <w:right w:val="single" w:sz="8" w:color="E20074"/>
            </w:tcBorders>
          </w:tcPr>
          <w:p>
            <w:pPr>
              <w:jc w:val="center"/>
              <w:ind w:left="478"/>
              <w:spacing w:after="0"/>
              <w:rPr>
                <w:sz w:val="20"/>
                <w:szCs w:val="20"/>
                <w:color w:val="auto"/>
              </w:rPr>
            </w:pPr>
            <w:r>
              <w:rPr>
                <w:rFonts w:ascii="Arial" w:cs="Arial" w:eastAsia="Arial" w:hAnsi="Arial"/>
                <w:sz w:val="32"/>
                <w:szCs w:val="32"/>
                <w:b w:val="1"/>
                <w:bCs w:val="1"/>
                <w:color w:val="auto"/>
              </w:rPr>
              <w:t>12</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Capital Structure</w:t>
            </w:r>
          </w:p>
        </w:tc>
      </w:tr>
      <w:tr>
        <w:trPr>
          <w:trHeight w:val="392"/>
        </w:trPr>
        <w:tc>
          <w:tcPr>
            <w:tcW w:w="2880" w:type="dxa"/>
            <w:vAlign w:val="bottom"/>
            <w:tcBorders>
              <w:right w:val="single" w:sz="8" w:color="E20074"/>
            </w:tcBorders>
          </w:tcPr>
          <w:p>
            <w:pPr>
              <w:jc w:val="center"/>
              <w:ind w:left="478"/>
              <w:spacing w:after="0"/>
              <w:rPr>
                <w:sz w:val="20"/>
                <w:szCs w:val="20"/>
                <w:color w:val="auto"/>
              </w:rPr>
            </w:pPr>
            <w:r>
              <w:rPr>
                <w:rFonts w:ascii="Arial" w:cs="Arial" w:eastAsia="Arial" w:hAnsi="Arial"/>
                <w:sz w:val="32"/>
                <w:szCs w:val="32"/>
                <w:b w:val="1"/>
                <w:bCs w:val="1"/>
                <w:color w:val="auto"/>
              </w:rPr>
              <w:t>13</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Guidance</w:t>
            </w:r>
          </w:p>
        </w:tc>
      </w:tr>
      <w:tr>
        <w:trPr>
          <w:trHeight w:val="392"/>
        </w:trPr>
        <w:tc>
          <w:tcPr>
            <w:tcW w:w="2880" w:type="dxa"/>
            <w:vAlign w:val="bottom"/>
            <w:tcBorders>
              <w:right w:val="single" w:sz="8" w:color="E20074"/>
            </w:tcBorders>
          </w:tcPr>
          <w:p>
            <w:pPr>
              <w:jc w:val="center"/>
              <w:ind w:left="478"/>
              <w:spacing w:after="0"/>
              <w:rPr>
                <w:sz w:val="20"/>
                <w:szCs w:val="20"/>
                <w:color w:val="auto"/>
              </w:rPr>
            </w:pPr>
            <w:r>
              <w:rPr>
                <w:rFonts w:ascii="Arial" w:cs="Arial" w:eastAsia="Arial" w:hAnsi="Arial"/>
                <w:sz w:val="32"/>
                <w:szCs w:val="32"/>
                <w:b w:val="1"/>
                <w:bCs w:val="1"/>
                <w:color w:val="auto"/>
              </w:rPr>
              <w:t>14</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Contacts</w:t>
            </w:r>
          </w:p>
        </w:tc>
      </w:tr>
      <w:tr>
        <w:trPr>
          <w:trHeight w:val="408"/>
        </w:trPr>
        <w:tc>
          <w:tcPr>
            <w:tcW w:w="2880" w:type="dxa"/>
            <w:vAlign w:val="bottom"/>
            <w:tcBorders>
              <w:right w:val="single" w:sz="8" w:color="E20074"/>
            </w:tcBorders>
          </w:tcPr>
          <w:p>
            <w:pPr>
              <w:jc w:val="center"/>
              <w:ind w:left="478"/>
              <w:spacing w:after="0"/>
              <w:rPr>
                <w:sz w:val="20"/>
                <w:szCs w:val="20"/>
                <w:color w:val="auto"/>
              </w:rPr>
            </w:pPr>
            <w:r>
              <w:rPr>
                <w:rFonts w:ascii="Arial" w:cs="Arial" w:eastAsia="Arial" w:hAnsi="Arial"/>
                <w:sz w:val="32"/>
                <w:szCs w:val="32"/>
                <w:b w:val="1"/>
                <w:bCs w:val="1"/>
                <w:color w:val="auto"/>
              </w:rPr>
              <w:t>15</w:t>
            </w:r>
          </w:p>
        </w:tc>
        <w:tc>
          <w:tcPr>
            <w:tcW w:w="8380" w:type="dxa"/>
            <w:vAlign w:val="bottom"/>
          </w:tcPr>
          <w:p>
            <w:pPr>
              <w:ind w:left="660"/>
              <w:spacing w:after="0"/>
              <w:rPr>
                <w:sz w:val="20"/>
                <w:szCs w:val="20"/>
                <w:color w:val="auto"/>
              </w:rPr>
            </w:pPr>
            <w:r>
              <w:rPr>
                <w:rFonts w:ascii="Arial" w:cs="Arial" w:eastAsia="Arial" w:hAnsi="Arial"/>
                <w:sz w:val="32"/>
                <w:szCs w:val="32"/>
                <w:b w:val="1"/>
                <w:bCs w:val="1"/>
                <w:color w:val="auto"/>
              </w:rPr>
              <w:t>Financial and Operational Tables</w:t>
            </w:r>
          </w:p>
        </w:tc>
      </w:tr>
      <w:tr>
        <w:trPr>
          <w:trHeight w:val="1444"/>
        </w:trPr>
        <w:tc>
          <w:tcPr>
            <w:tcW w:w="288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743"/>
        </w:trPr>
        <w:tc>
          <w:tcPr>
            <w:tcW w:w="2880" w:type="dxa"/>
            <w:vAlign w:val="bottom"/>
            <w:tcBorders>
              <w:right w:val="single" w:sz="8" w:color="auto"/>
            </w:tcBorders>
            <w:shd w:val="clear" w:color="auto" w:fill="000000"/>
          </w:tcPr>
          <w:p>
            <w:pPr>
              <w:spacing w:after="0"/>
              <w:rPr>
                <w:sz w:val="24"/>
                <w:szCs w:val="24"/>
                <w:color w:val="auto"/>
              </w:rPr>
            </w:pPr>
          </w:p>
        </w:tc>
        <w:tc>
          <w:tcPr>
            <w:tcW w:w="838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298"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428625</wp:posOffset>
            </wp:positionV>
            <wp:extent cx="7132320" cy="7269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8" w:hanging="308"/>
        <w:spacing w:after="0"/>
        <w:tabs>
          <w:tab w:leader="none" w:pos="308"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Industry-leading claims are based on consensus expectations if results are not yet reported.</w:t>
      </w:r>
    </w:p>
    <w:p>
      <w:pPr>
        <w:spacing w:after="0" w:line="35" w:lineRule="exact"/>
        <w:rPr>
          <w:rFonts w:ascii="Times New Roman" w:cs="Times New Roman" w:eastAsia="Times New Roman" w:hAnsi="Times New Roman"/>
          <w:sz w:val="11"/>
          <w:szCs w:val="11"/>
          <w:color w:val="auto"/>
        </w:rPr>
      </w:pPr>
    </w:p>
    <w:p>
      <w:pPr>
        <w:ind w:left="328" w:right="140" w:hanging="328"/>
        <w:spacing w:after="0" w:line="213" w:lineRule="auto"/>
        <w:tabs>
          <w:tab w:leader="none" w:pos="319"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Core Adjusted EBITDA, Adjusted Free Cash Flow and Adjusted Free Cash Flow margin are non-GAAP financial measures. These non-GAAP financial measures should be considered in addition to, but not as a substitute for, the information provided in accordance with GAAP. Reconciliations for these non-GAAP financial measures to the most directly comparable GAAP financial measures are provided in the Reconciliation of Non-GAAP Financial Measures to GAAP Financial Measures tables. We are not able to forecast Net income on a forward-looking basis without unreasonable efforts due to the high variability and difficulty in predicting certain items that affect Net income, including, but not limited to, Special Items, Income tax expense and Interest expense. Core Adjusted EBITDA should not be used to predict Net income as the difference between this measure and Net income is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-18415</wp:posOffset>
            </wp:positionV>
            <wp:extent cx="7140575" cy="471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471170"/>
                    </a:xfrm>
                    <a:prstGeom prst="rect">
                      <a:avLst/>
                    </a:prstGeom>
                    <a:noFill/>
                  </pic:spPr>
                </pic:pic>
              </a:graphicData>
            </a:graphic>
          </wp:anchor>
        </w:drawing>
      </w:r>
    </w:p>
    <w:p>
      <w:pPr>
        <w:sectPr>
          <w:pgSz w:w="11900" w:h="16838" w:orient="portrait"/>
          <w:cols w:equalWidth="0" w:num="1">
            <w:col w:w="10588"/>
          </w:cols>
          <w:pgMar w:left="652" w:top="298" w:right="659" w:bottom="1440" w:gutter="0" w:footer="0" w:header="0"/>
        </w:sectPr>
      </w:pPr>
    </w:p>
    <w:bookmarkStart w:id="15" w:name="page16"/>
    <w:bookmarkEnd w:id="15"/>
    <w:p>
      <w:pPr>
        <w:ind w:left="1074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16293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ectPr>
          <w:pgSz w:w="11900" w:h="16838" w:orient="portrait"/>
          <w:cols w:equalWidth="0" w:num="1">
            <w:col w:w="11000"/>
          </w:cols>
          <w:pgMar w:left="320" w:top="298" w:right="5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Postpaid Accounts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948940" cy="1971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489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spacing w:after="0" w:line="301" w:lineRule="auto"/>
        <w:rPr>
          <w:sz w:val="20"/>
          <w:szCs w:val="20"/>
          <w:color w:val="auto"/>
        </w:rPr>
      </w:pPr>
      <w:r>
        <w:rPr>
          <w:rFonts w:ascii="Arial" w:cs="Arial" w:eastAsia="Arial" w:hAnsi="Arial"/>
          <w:sz w:val="14"/>
          <w:szCs w:val="14"/>
          <w:color w:val="666666"/>
        </w:rPr>
        <w:t>During Q3 2025, we acquired 1,448,000 postpaid accounts, net of certain base adjustments, through the UScellular acquisition.</w:t>
      </w:r>
    </w:p>
    <w:p>
      <w:pPr>
        <w:spacing w:after="0" w:line="1"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666666"/>
        </w:rPr>
        <w:t>During Q3 2025, we acquired 633,000 postpaid accounts from Metronet and other acquisitions.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666666"/>
        </w:rPr>
        <w:t>During Q1 2026, we recognized a base adjustment to decrease postpaid accounts by 18,000, primarily due to combining certain business accounts that have multiple billing account numbers.</w:t>
      </w:r>
    </w:p>
    <w:p>
      <w:pPr>
        <w:spacing w:after="0" w:line="18" w:lineRule="exact"/>
        <w:rPr>
          <w:sz w:val="20"/>
          <w:szCs w:val="20"/>
          <w:color w:val="auto"/>
        </w:rPr>
      </w:pPr>
    </w:p>
    <w:p>
      <w:pPr>
        <w:ind w:right="420"/>
        <w:spacing w:after="0" w:line="305" w:lineRule="auto"/>
        <w:rPr>
          <w:sz w:val="20"/>
          <w:szCs w:val="20"/>
          <w:color w:val="auto"/>
        </w:rPr>
      </w:pPr>
      <w:r>
        <w:rPr>
          <w:rFonts w:ascii="Arial" w:cs="Arial" w:eastAsia="Arial" w:hAnsi="Arial"/>
          <w:sz w:val="14"/>
          <w:szCs w:val="14"/>
          <w:color w:val="666666"/>
        </w:rPr>
        <w:t>During Q2 2026, Metronet agreed to repurchase certain customer accounts, resulting in a base adjustment to decrease postpaid accounts by 16,000.</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666666"/>
        </w:rPr>
        <w:t>These base adjustments had no impact on postpaid net account additions.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666666"/>
        </w:rPr>
        <w:t>Continued growth in Postpaid accounts with a decrease in net additions primarily due to:</w:t>
      </w:r>
    </w:p>
    <w:p>
      <w:pPr>
        <w:spacing w:after="0" w:line="1" w:lineRule="exact"/>
        <w:rPr>
          <w:sz w:val="20"/>
          <w:szCs w:val="20"/>
          <w:color w:val="auto"/>
        </w:rPr>
      </w:pPr>
    </w:p>
    <w:p>
      <w:pPr>
        <w:ind w:left="320" w:right="280" w:hanging="317"/>
        <w:spacing w:after="0" w:line="278" w:lineRule="auto"/>
        <w:tabs>
          <w:tab w:leader="none" w:pos="307" w:val="left"/>
        </w:tabs>
        <w:numPr>
          <w:ilvl w:val="0"/>
          <w:numId w:val="17"/>
        </w:numPr>
        <w:rPr>
          <w:rFonts w:ascii="Arial" w:cs="Arial" w:eastAsia="Arial" w:hAnsi="Arial"/>
          <w:sz w:val="17"/>
          <w:szCs w:val="17"/>
          <w:b w:val="1"/>
          <w:bCs w:val="1"/>
          <w:color w:val="E20074"/>
        </w:rPr>
      </w:pPr>
      <w:r>
        <w:rPr>
          <w:rFonts w:ascii="Arial" w:cs="Arial" w:eastAsia="Arial" w:hAnsi="Arial"/>
          <w:sz w:val="17"/>
          <w:szCs w:val="17"/>
          <w:color w:val="666666"/>
        </w:rPr>
        <w:t>Higher account deactivations driven by higher average broadband-only accounts which have higher churn, the temporary impact of our rate plan modernization, and the impact of a growing account base, including following the acquisitions of UScellular and Metronet during Q3 2025</w:t>
      </w:r>
    </w:p>
    <w:p>
      <w:pPr>
        <w:spacing w:after="0" w:line="334"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b w:val="1"/>
          <w:bCs w:val="1"/>
          <w:color w:val="666666"/>
        </w:rPr>
        <w:t>Continued growth in Postpaid accounts with a slight decrease in net additions primarily due to:</w:t>
      </w:r>
    </w:p>
    <w:p>
      <w:pPr>
        <w:spacing w:after="0" w:line="1" w:lineRule="exact"/>
        <w:rPr>
          <w:sz w:val="20"/>
          <w:szCs w:val="20"/>
          <w:color w:val="auto"/>
        </w:rPr>
      </w:pPr>
    </w:p>
    <w:p>
      <w:pPr>
        <w:ind w:left="320" w:hanging="317"/>
        <w:spacing w:after="0" w:line="262" w:lineRule="auto"/>
        <w:tabs>
          <w:tab w:leader="none" w:pos="307" w:val="left"/>
        </w:tabs>
        <w:numPr>
          <w:ilvl w:val="0"/>
          <w:numId w:val="18"/>
        </w:numPr>
        <w:rPr>
          <w:rFonts w:ascii="Arial" w:cs="Arial" w:eastAsia="Arial" w:hAnsi="Arial"/>
          <w:sz w:val="18"/>
          <w:szCs w:val="18"/>
          <w:color w:val="E20074"/>
        </w:rPr>
      </w:pPr>
      <w:r>
        <w:rPr>
          <w:rFonts w:ascii="Arial" w:cs="Arial" w:eastAsia="Arial" w:hAnsi="Arial"/>
          <w:sz w:val="18"/>
          <w:szCs w:val="18"/>
          <w:color w:val="666666"/>
        </w:rPr>
        <w:t>Higher account deactivations driven by the temporary impact of our rate plan modernization, higher average broadband-only accounts which have higher churn, and seasonally higher switching activity</w:t>
      </w:r>
    </w:p>
    <w:p>
      <w:pPr>
        <w:spacing w:after="0" w:line="14" w:lineRule="exact"/>
        <w:rPr>
          <w:rFonts w:ascii="Arial" w:cs="Arial" w:eastAsia="Arial" w:hAnsi="Arial"/>
          <w:sz w:val="18"/>
          <w:szCs w:val="18"/>
          <w:color w:val="E20074"/>
        </w:rPr>
      </w:pPr>
    </w:p>
    <w:p>
      <w:pPr>
        <w:ind w:left="320" w:right="280" w:hanging="317"/>
        <w:spacing w:after="0" w:line="287" w:lineRule="auto"/>
        <w:tabs>
          <w:tab w:leader="none" w:pos="307" w:val="left"/>
        </w:tabs>
        <w:numPr>
          <w:ilvl w:val="0"/>
          <w:numId w:val="18"/>
        </w:numPr>
        <w:rPr>
          <w:rFonts w:ascii="Arial" w:cs="Arial" w:eastAsia="Arial" w:hAnsi="Arial"/>
          <w:sz w:val="18"/>
          <w:szCs w:val="18"/>
          <w:color w:val="E20074"/>
        </w:rPr>
      </w:pPr>
      <w:r>
        <w:rPr>
          <w:rFonts w:ascii="Arial" w:cs="Arial" w:eastAsia="Arial" w:hAnsi="Arial"/>
          <w:sz w:val="18"/>
          <w:szCs w:val="18"/>
          <w:color w:val="666666"/>
        </w:rPr>
        <w:t>Mostly offset by higher gross account additions, including seasonally higher switching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709295</wp:posOffset>
            </wp:positionV>
            <wp:extent cx="713232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1225" w:lineRule="exact"/>
        <w:rPr>
          <w:sz w:val="20"/>
          <w:szCs w:val="20"/>
          <w:color w:val="auto"/>
        </w:rPr>
      </w:pPr>
    </w:p>
    <w:p>
      <w:pPr>
        <w:sectPr>
          <w:pgSz w:w="11900" w:h="16838" w:orient="portrait"/>
          <w:cols w:equalWidth="0" w:num="2">
            <w:col w:w="5260" w:space="600"/>
            <w:col w:w="5140"/>
          </w:cols>
          <w:pgMar w:left="320" w:top="298" w:right="57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280" w:type="dxa"/>
            <w:vAlign w:val="bottom"/>
            <w:tcBorders>
              <w:top w:val="single" w:sz="8" w:color="DBDBDB"/>
            </w:tcBorders>
            <w:shd w:val="clear" w:color="auto" w:fill="DBDBDB"/>
          </w:tcPr>
          <w:p>
            <w:pPr>
              <w:ind w:left="1740"/>
              <w:spacing w:after="0"/>
              <w:rPr>
                <w:sz w:val="20"/>
                <w:szCs w:val="20"/>
                <w:color w:val="auto"/>
              </w:rPr>
            </w:pPr>
            <w:r>
              <w:rPr>
                <w:rFonts w:ascii="Arial" w:cs="Arial" w:eastAsia="Arial" w:hAnsi="Arial"/>
                <w:sz w:val="25"/>
                <w:szCs w:val="25"/>
                <w:b w:val="1"/>
                <w:bCs w:val="1"/>
                <w:color w:val="auto"/>
              </w:rPr>
              <w:t>Year-Over-Year</w:t>
            </w:r>
          </w:p>
        </w:tc>
        <w:tc>
          <w:tcPr>
            <w:tcW w:w="600" w:type="dxa"/>
            <w:vAlign w:val="bottom"/>
            <w:tcBorders>
              <w:right w:val="single" w:sz="8" w:color="B6B6B6"/>
            </w:tcBorders>
          </w:tcPr>
          <w:p>
            <w:pPr>
              <w:spacing w:after="0"/>
              <w:rPr>
                <w:sz w:val="24"/>
                <w:szCs w:val="24"/>
                <w:color w:val="auto"/>
              </w:rPr>
            </w:pPr>
          </w:p>
        </w:tc>
        <w:tc>
          <w:tcPr>
            <w:tcW w:w="100" w:type="dxa"/>
            <w:vAlign w:val="bottom"/>
            <w:tcBorders>
              <w:top w:val="single" w:sz="8" w:color="B6B6B6"/>
              <w:bottom w:val="single" w:sz="8" w:color="E20074"/>
            </w:tcBorders>
            <w:shd w:val="clear" w:color="auto" w:fill="E20074"/>
          </w:tcPr>
          <w:p>
            <w:pPr>
              <w:spacing w:after="0"/>
              <w:rPr>
                <w:sz w:val="24"/>
                <w:szCs w:val="24"/>
                <w:color w:val="auto"/>
              </w:rPr>
            </w:pPr>
          </w:p>
        </w:tc>
        <w:tc>
          <w:tcPr>
            <w:tcW w:w="4880" w:type="dxa"/>
            <w:vAlign w:val="bottom"/>
            <w:tcBorders>
              <w:top w:val="single" w:sz="8" w:color="B6B6B6"/>
              <w:right w:val="single" w:sz="8" w:color="B6B6B6"/>
            </w:tcBorders>
          </w:tcPr>
          <w:p>
            <w:pPr>
              <w:ind w:left="20"/>
              <w:spacing w:after="0"/>
              <w:rPr>
                <w:sz w:val="20"/>
                <w:szCs w:val="20"/>
                <w:color w:val="auto"/>
              </w:rPr>
            </w:pPr>
            <w:r>
              <w:rPr>
                <w:rFonts w:ascii="Arial" w:cs="Arial" w:eastAsia="Arial" w:hAnsi="Arial"/>
                <w:sz w:val="25"/>
                <w:szCs w:val="25"/>
                <w:b w:val="1"/>
                <w:bCs w:val="1"/>
                <w:color w:val="auto"/>
              </w:rPr>
              <w:t>Postpaid ARPA</w:t>
            </w:r>
          </w:p>
        </w:tc>
      </w:tr>
      <w:tr>
        <w:trPr>
          <w:trHeight w:val="20"/>
        </w:trPr>
        <w:tc>
          <w:tcPr>
            <w:tcW w:w="5280" w:type="dxa"/>
            <w:vAlign w:val="bottom"/>
          </w:tcPr>
          <w:p>
            <w:pPr>
              <w:spacing w:after="0" w:line="20" w:lineRule="exact"/>
              <w:rPr>
                <w:sz w:val="1"/>
                <w:szCs w:val="1"/>
                <w:color w:val="auto"/>
              </w:rPr>
            </w:pPr>
          </w:p>
        </w:tc>
        <w:tc>
          <w:tcPr>
            <w:tcW w:w="600" w:type="dxa"/>
            <w:vAlign w:val="bottom"/>
            <w:tcBorders>
              <w:right w:val="single" w:sz="8" w:color="B6B6B6"/>
            </w:tcBorders>
          </w:tcPr>
          <w:p>
            <w:pPr>
              <w:spacing w:after="0" w:line="20" w:lineRule="exact"/>
              <w:rPr>
                <w:sz w:val="1"/>
                <w:szCs w:val="1"/>
                <w:color w:val="auto"/>
              </w:rPr>
            </w:pPr>
          </w:p>
        </w:tc>
        <w:tc>
          <w:tcPr>
            <w:tcW w:w="100" w:type="dxa"/>
            <w:vAlign w:val="bottom"/>
            <w:shd w:val="clear" w:color="auto" w:fill="B6B6B6"/>
          </w:tcPr>
          <w:p>
            <w:pPr>
              <w:spacing w:after="0" w:line="20" w:lineRule="exact"/>
              <w:rPr>
                <w:sz w:val="1"/>
                <w:szCs w:val="1"/>
                <w:color w:val="auto"/>
              </w:rPr>
            </w:pPr>
          </w:p>
        </w:tc>
        <w:tc>
          <w:tcPr>
            <w:tcW w:w="4880" w:type="dxa"/>
            <w:vAlign w:val="bottom"/>
            <w:tcBorders>
              <w:right w:val="single" w:sz="8" w:color="B6B6B6"/>
            </w:tcBorders>
            <w:shd w:val="clear" w:color="auto" w:fill="B6B6B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120015</wp:posOffset>
            </wp:positionV>
            <wp:extent cx="2957195" cy="1971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57195" cy="197167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Postpaid ARPA increased 4% primarily due to:</w:t>
      </w:r>
    </w:p>
    <w:p>
      <w:pPr>
        <w:spacing w:after="0" w:line="63" w:lineRule="exact"/>
        <w:rPr>
          <w:sz w:val="20"/>
          <w:szCs w:val="20"/>
          <w:color w:val="auto"/>
        </w:rPr>
      </w:pPr>
    </w:p>
    <w:p>
      <w:pPr>
        <w:ind w:left="340" w:right="5740" w:hanging="332"/>
        <w:spacing w:after="0" w:line="268" w:lineRule="auto"/>
        <w:tabs>
          <w:tab w:leader="none" w:pos="327" w:val="left"/>
        </w:tabs>
        <w:numPr>
          <w:ilvl w:val="0"/>
          <w:numId w:val="19"/>
        </w:numPr>
        <w:rPr>
          <w:rFonts w:ascii="Arial" w:cs="Arial" w:eastAsia="Arial" w:hAnsi="Arial"/>
          <w:sz w:val="18"/>
          <w:szCs w:val="18"/>
          <w:b w:val="1"/>
          <w:bCs w:val="1"/>
          <w:color w:val="E20074"/>
        </w:rPr>
      </w:pPr>
      <w:r>
        <w:rPr>
          <w:rFonts w:ascii="Arial" w:cs="Arial" w:eastAsia="Arial" w:hAnsi="Arial"/>
          <w:sz w:val="18"/>
          <w:szCs w:val="18"/>
          <w:color w:val="666666"/>
        </w:rPr>
        <w:t>Higher fee revenue, including from the adoption of tax and fee exclusive plans, and the positive impact from our rate plan modernization</w:t>
      </w:r>
    </w:p>
    <w:p>
      <w:pPr>
        <w:spacing w:after="0" w:line="8" w:lineRule="exact"/>
        <w:rPr>
          <w:rFonts w:ascii="Arial" w:cs="Arial" w:eastAsia="Arial" w:hAnsi="Arial"/>
          <w:sz w:val="18"/>
          <w:szCs w:val="18"/>
          <w:b w:val="1"/>
          <w:bCs w:val="1"/>
          <w:color w:val="E20074"/>
        </w:rPr>
      </w:pPr>
    </w:p>
    <w:p>
      <w:pPr>
        <w:ind w:left="340" w:right="5780" w:hanging="332"/>
        <w:spacing w:after="0" w:line="262" w:lineRule="auto"/>
        <w:tabs>
          <w:tab w:leader="none" w:pos="327" w:val="left"/>
        </w:tabs>
        <w:numPr>
          <w:ilvl w:val="0"/>
          <w:numId w:val="19"/>
        </w:numPr>
        <w:rPr>
          <w:rFonts w:ascii="Arial" w:cs="Arial" w:eastAsia="Arial" w:hAnsi="Arial"/>
          <w:sz w:val="18"/>
          <w:szCs w:val="18"/>
          <w:b w:val="1"/>
          <w:bCs w:val="1"/>
          <w:color w:val="E20074"/>
        </w:rPr>
      </w:pPr>
      <w:r>
        <w:rPr>
          <w:rFonts w:ascii="Arial" w:cs="Arial" w:eastAsia="Arial" w:hAnsi="Arial"/>
          <w:sz w:val="18"/>
          <w:szCs w:val="18"/>
          <w:color w:val="666666"/>
        </w:rPr>
        <w:t>An increase in customers per account, including from the continued adoption of 5G broadband and continued growth of T-Mobile for Business accounts, partially offset by fiber and UScellular accounts with fewer customers per account</w:t>
      </w:r>
    </w:p>
    <w:p>
      <w:pPr>
        <w:spacing w:after="0" w:line="14" w:lineRule="exact"/>
        <w:rPr>
          <w:rFonts w:ascii="Arial" w:cs="Arial" w:eastAsia="Arial" w:hAnsi="Arial"/>
          <w:sz w:val="18"/>
          <w:szCs w:val="18"/>
          <w:b w:val="1"/>
          <w:bCs w:val="1"/>
          <w:color w:val="E20074"/>
        </w:rPr>
      </w:pPr>
    </w:p>
    <w:p>
      <w:pPr>
        <w:ind w:left="340" w:right="5800" w:hanging="332"/>
        <w:spacing w:after="0" w:line="287" w:lineRule="auto"/>
        <w:tabs>
          <w:tab w:leader="none" w:pos="327" w:val="left"/>
        </w:tabs>
        <w:numPr>
          <w:ilvl w:val="0"/>
          <w:numId w:val="19"/>
        </w:numPr>
        <w:rPr>
          <w:rFonts w:ascii="Arial" w:cs="Arial" w:eastAsia="Arial" w:hAnsi="Arial"/>
          <w:sz w:val="18"/>
          <w:szCs w:val="18"/>
          <w:b w:val="1"/>
          <w:bCs w:val="1"/>
          <w:color w:val="E20074"/>
        </w:rPr>
      </w:pPr>
      <w:r>
        <w:rPr>
          <w:rFonts w:ascii="Arial" w:cs="Arial" w:eastAsia="Arial" w:hAnsi="Arial"/>
          <w:sz w:val="18"/>
          <w:szCs w:val="18"/>
          <w:color w:val="666666"/>
        </w:rPr>
        <w:t>Partially offset by increased promotional activity, including the success of bundled offerings</w:t>
      </w:r>
    </w:p>
    <w:p>
      <w:pPr>
        <w:spacing w:after="0" w:line="323"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Postpaid ARPA increased 2% primarily due to:</w:t>
      </w:r>
    </w:p>
    <w:p>
      <w:pPr>
        <w:spacing w:after="0" w:line="63" w:lineRule="exact"/>
        <w:rPr>
          <w:sz w:val="20"/>
          <w:szCs w:val="20"/>
          <w:color w:val="auto"/>
        </w:rPr>
      </w:pPr>
    </w:p>
    <w:p>
      <w:pPr>
        <w:ind w:left="340" w:right="5760" w:hanging="332"/>
        <w:spacing w:after="0" w:line="268" w:lineRule="auto"/>
        <w:tabs>
          <w:tab w:leader="none" w:pos="327" w:val="left"/>
        </w:tabs>
        <w:numPr>
          <w:ilvl w:val="0"/>
          <w:numId w:val="20"/>
        </w:numPr>
        <w:rPr>
          <w:rFonts w:ascii="Arial" w:cs="Arial" w:eastAsia="Arial" w:hAnsi="Arial"/>
          <w:sz w:val="18"/>
          <w:szCs w:val="18"/>
          <w:b w:val="1"/>
          <w:bCs w:val="1"/>
          <w:color w:val="E20074"/>
        </w:rPr>
      </w:pPr>
      <w:r>
        <w:rPr>
          <w:rFonts w:ascii="Arial" w:cs="Arial" w:eastAsia="Arial" w:hAnsi="Arial"/>
          <w:sz w:val="18"/>
          <w:szCs w:val="18"/>
          <w:color w:val="666666"/>
        </w:rPr>
        <w:t>The positive impact from our rate plan modernization and higher fee revenue, including from the adoption of tax and fee exclusive plans</w:t>
      </w:r>
    </w:p>
    <w:p>
      <w:pPr>
        <w:spacing w:after="0" w:line="8" w:lineRule="exact"/>
        <w:rPr>
          <w:rFonts w:ascii="Arial" w:cs="Arial" w:eastAsia="Arial" w:hAnsi="Arial"/>
          <w:sz w:val="18"/>
          <w:szCs w:val="18"/>
          <w:b w:val="1"/>
          <w:bCs w:val="1"/>
          <w:color w:val="E20074"/>
        </w:rPr>
      </w:pPr>
    </w:p>
    <w:p>
      <w:pPr>
        <w:ind w:left="340" w:right="5800" w:hanging="332"/>
        <w:spacing w:after="0" w:line="287" w:lineRule="auto"/>
        <w:tabs>
          <w:tab w:leader="none" w:pos="327" w:val="left"/>
        </w:tabs>
        <w:numPr>
          <w:ilvl w:val="0"/>
          <w:numId w:val="20"/>
        </w:numPr>
        <w:rPr>
          <w:rFonts w:ascii="Arial" w:cs="Arial" w:eastAsia="Arial" w:hAnsi="Arial"/>
          <w:sz w:val="18"/>
          <w:szCs w:val="18"/>
          <w:b w:val="1"/>
          <w:bCs w:val="1"/>
          <w:color w:val="E20074"/>
        </w:rPr>
      </w:pPr>
      <w:r>
        <w:rPr>
          <w:rFonts w:ascii="Arial" w:cs="Arial" w:eastAsia="Arial" w:hAnsi="Arial"/>
          <w:sz w:val="18"/>
          <w:szCs w:val="18"/>
          <w:color w:val="666666"/>
        </w:rPr>
        <w:t>Partially offset by increased promotional activity, including the success of bundled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471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11000"/>
          </w:cols>
          <w:pgMar w:left="320" w:top="298" w:right="57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5</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5280" w:type="dxa"/>
            <w:vAlign w:val="bottom"/>
          </w:tcPr>
          <w:p>
            <w:pPr>
              <w:spacing w:after="0"/>
              <w:rPr>
                <w:sz w:val="3"/>
                <w:szCs w:val="3"/>
                <w:color w:val="auto"/>
              </w:rPr>
            </w:pPr>
          </w:p>
        </w:tc>
        <w:tc>
          <w:tcPr>
            <w:tcW w:w="600" w:type="dxa"/>
            <w:vAlign w:val="bottom"/>
            <w:tcBorders>
              <w:right w:val="single" w:sz="8" w:color="B6B6B6"/>
            </w:tcBorders>
            <w:vMerge w:val="restart"/>
          </w:tcPr>
          <w:p>
            <w:pPr>
              <w:spacing w:after="0"/>
              <w:rPr>
                <w:sz w:val="3"/>
                <w:szCs w:val="3"/>
                <w:color w:val="auto"/>
              </w:rPr>
            </w:pPr>
          </w:p>
        </w:tc>
        <w:tc>
          <w:tcPr>
            <w:tcW w:w="100" w:type="dxa"/>
            <w:vAlign w:val="bottom"/>
            <w:tcBorders>
              <w:top w:val="single" w:sz="8" w:color="B6B6B6"/>
            </w:tcBorders>
            <w:vMerge w:val="restart"/>
            <w:shd w:val="clear" w:color="auto" w:fill="E20074"/>
          </w:tcPr>
          <w:p>
            <w:pPr>
              <w:spacing w:after="0"/>
              <w:rPr>
                <w:sz w:val="3"/>
                <w:szCs w:val="3"/>
                <w:color w:val="auto"/>
              </w:rPr>
            </w:pPr>
          </w:p>
        </w:tc>
        <w:tc>
          <w:tcPr>
            <w:tcW w:w="4880" w:type="dxa"/>
            <w:vAlign w:val="bottom"/>
            <w:tcBorders>
              <w:top w:val="single" w:sz="8" w:color="B6B6B6"/>
              <w:right w:val="single" w:sz="8" w:color="B6B6B6"/>
            </w:tcBorders>
            <w:vMerge w:val="restart"/>
          </w:tcPr>
          <w:p>
            <w:pPr>
              <w:ind w:left="20"/>
              <w:spacing w:after="0"/>
              <w:rPr>
                <w:sz w:val="20"/>
                <w:szCs w:val="20"/>
                <w:color w:val="auto"/>
              </w:rPr>
            </w:pPr>
            <w:r>
              <w:rPr>
                <w:rFonts w:ascii="Arial" w:cs="Arial" w:eastAsia="Arial" w:hAnsi="Arial"/>
                <w:sz w:val="25"/>
                <w:szCs w:val="25"/>
                <w:b w:val="1"/>
                <w:bCs w:val="1"/>
                <w:color w:val="auto"/>
              </w:rPr>
              <w:t>Postpaid Account Churn</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DBDBDB"/>
            </w:tcBorders>
            <w:shd w:val="clear" w:color="auto" w:fill="DBDBDB"/>
          </w:tcPr>
          <w:p>
            <w:pPr>
              <w:ind w:left="1740"/>
              <w:spacing w:after="0"/>
              <w:rPr>
                <w:sz w:val="20"/>
                <w:szCs w:val="20"/>
                <w:color w:val="auto"/>
              </w:rPr>
            </w:pPr>
            <w:r>
              <w:rPr>
                <w:rFonts w:ascii="Arial" w:cs="Arial" w:eastAsia="Arial" w:hAnsi="Arial"/>
                <w:sz w:val="25"/>
                <w:szCs w:val="25"/>
                <w:b w:val="1"/>
                <w:bCs w:val="1"/>
                <w:color w:val="auto"/>
              </w:rPr>
              <w:t>Year-Over-Year</w:t>
            </w:r>
          </w:p>
        </w:tc>
        <w:tc>
          <w:tcPr>
            <w:tcW w:w="600" w:type="dxa"/>
            <w:vAlign w:val="bottom"/>
            <w:tcBorders>
              <w:right w:val="single" w:sz="8" w:color="B6B6B6"/>
            </w:tcBorders>
            <w:vMerge w:val="continue"/>
          </w:tcPr>
          <w:p>
            <w:pPr>
              <w:spacing w:after="0"/>
              <w:rPr>
                <w:sz w:val="24"/>
                <w:szCs w:val="24"/>
                <w:color w:val="auto"/>
              </w:rPr>
            </w:pPr>
          </w:p>
        </w:tc>
        <w:tc>
          <w:tcPr>
            <w:tcW w:w="100" w:type="dxa"/>
            <w:vAlign w:val="bottom"/>
            <w:tcBorders>
              <w:bottom w:val="single" w:sz="8" w:color="B6B6B6"/>
            </w:tcBorders>
            <w:vMerge w:val="continue"/>
            <w:shd w:val="clear" w:color="auto" w:fill="E20074"/>
          </w:tcPr>
          <w:p>
            <w:pPr>
              <w:spacing w:after="0"/>
              <w:rPr>
                <w:sz w:val="24"/>
                <w:szCs w:val="24"/>
                <w:color w:val="auto"/>
              </w:rPr>
            </w:pPr>
          </w:p>
        </w:tc>
        <w:tc>
          <w:tcPr>
            <w:tcW w:w="4880" w:type="dxa"/>
            <w:vAlign w:val="bottom"/>
            <w:tcBorders>
              <w:bottom w:val="single" w:sz="8" w:color="B6B6B6"/>
              <w:right w:val="single" w:sz="8" w:color="B6B6B6"/>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DBDBDB"/>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51435</wp:posOffset>
            </wp:positionV>
            <wp:extent cx="295719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123" w:lineRule="exact"/>
        <w:rPr>
          <w:sz w:val="20"/>
          <w:szCs w:val="20"/>
          <w:color w:val="auto"/>
        </w:rPr>
      </w:pPr>
    </w:p>
    <w:p>
      <w:pPr>
        <w:ind w:right="5820"/>
        <w:spacing w:after="0" w:line="281" w:lineRule="auto"/>
        <w:rPr>
          <w:sz w:val="20"/>
          <w:szCs w:val="20"/>
          <w:color w:val="auto"/>
        </w:rPr>
      </w:pPr>
      <w:r>
        <w:rPr>
          <w:rFonts w:ascii="Arial" w:cs="Arial" w:eastAsia="Arial" w:hAnsi="Arial"/>
          <w:sz w:val="18"/>
          <w:szCs w:val="18"/>
          <w:b w:val="1"/>
          <w:bCs w:val="1"/>
          <w:color w:val="666666"/>
        </w:rPr>
        <w:t>Postpaid account churn increased 12 basis points primarily due to:</w:t>
      </w:r>
    </w:p>
    <w:p>
      <w:pPr>
        <w:spacing w:after="0" w:line="1" w:lineRule="exact"/>
        <w:rPr>
          <w:sz w:val="20"/>
          <w:szCs w:val="20"/>
          <w:color w:val="auto"/>
        </w:rPr>
      </w:pPr>
    </w:p>
    <w:p>
      <w:pPr>
        <w:ind w:left="340" w:right="5800" w:hanging="332"/>
        <w:spacing w:after="0" w:line="268" w:lineRule="auto"/>
        <w:tabs>
          <w:tab w:leader="none" w:pos="327" w:val="left"/>
        </w:tabs>
        <w:numPr>
          <w:ilvl w:val="0"/>
          <w:numId w:val="21"/>
        </w:numPr>
        <w:rPr>
          <w:rFonts w:ascii="Arial" w:cs="Arial" w:eastAsia="Arial" w:hAnsi="Arial"/>
          <w:sz w:val="18"/>
          <w:szCs w:val="18"/>
          <w:b w:val="1"/>
          <w:bCs w:val="1"/>
          <w:color w:val="E20074"/>
        </w:rPr>
      </w:pPr>
      <w:r>
        <w:rPr>
          <w:rFonts w:ascii="Arial" w:cs="Arial" w:eastAsia="Arial" w:hAnsi="Arial"/>
          <w:sz w:val="18"/>
          <w:szCs w:val="18"/>
          <w:color w:val="666666"/>
        </w:rPr>
        <w:t>Higher average broadband-only accounts which have higher churn and the temporary impact of our rate plan modernization</w:t>
      </w:r>
    </w:p>
    <w:p>
      <w:pPr>
        <w:spacing w:after="0" w:line="340" w:lineRule="exact"/>
        <w:rPr>
          <w:sz w:val="20"/>
          <w:szCs w:val="20"/>
          <w:color w:val="auto"/>
        </w:rPr>
      </w:pPr>
    </w:p>
    <w:p>
      <w:pPr>
        <w:jc w:val="center"/>
        <w:ind w:right="564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ind w:right="5820"/>
        <w:spacing w:after="0" w:line="281" w:lineRule="auto"/>
        <w:rPr>
          <w:sz w:val="20"/>
          <w:szCs w:val="20"/>
          <w:color w:val="auto"/>
        </w:rPr>
      </w:pPr>
      <w:r>
        <w:rPr>
          <w:rFonts w:ascii="Arial" w:cs="Arial" w:eastAsia="Arial" w:hAnsi="Arial"/>
          <w:sz w:val="18"/>
          <w:szCs w:val="18"/>
          <w:b w:val="1"/>
          <w:bCs w:val="1"/>
          <w:color w:val="666666"/>
        </w:rPr>
        <w:t>Postpaid account churn increased 10 basis points primarily due to:</w:t>
      </w:r>
    </w:p>
    <w:p>
      <w:pPr>
        <w:spacing w:after="0" w:line="1" w:lineRule="exact"/>
        <w:rPr>
          <w:sz w:val="20"/>
          <w:szCs w:val="20"/>
          <w:color w:val="auto"/>
        </w:rPr>
      </w:pPr>
    </w:p>
    <w:p>
      <w:pPr>
        <w:jc w:val="both"/>
        <w:ind w:left="340" w:right="5820" w:hanging="332"/>
        <w:spacing w:after="0" w:line="268" w:lineRule="auto"/>
        <w:tabs>
          <w:tab w:leader="none" w:pos="327" w:val="left"/>
        </w:tabs>
        <w:numPr>
          <w:ilvl w:val="0"/>
          <w:numId w:val="22"/>
        </w:numPr>
        <w:rPr>
          <w:rFonts w:ascii="Arial" w:cs="Arial" w:eastAsia="Arial" w:hAnsi="Arial"/>
          <w:sz w:val="18"/>
          <w:szCs w:val="18"/>
          <w:b w:val="1"/>
          <w:bCs w:val="1"/>
          <w:color w:val="E20074"/>
        </w:rPr>
      </w:pPr>
      <w:r>
        <w:rPr>
          <w:rFonts w:ascii="Arial" w:cs="Arial" w:eastAsia="Arial" w:hAnsi="Arial"/>
          <w:sz w:val="18"/>
          <w:szCs w:val="18"/>
          <w:color w:val="666666"/>
        </w:rPr>
        <w:t>The temporary impact of our rate plan modernization, higher average broadband-only accounts which have higher churn, and seasonally higher switching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40575"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10920"/>
          </w:cols>
          <w:pgMar w:left="320" w:top="298" w:right="659" w:bottom="1440" w:gutter="0" w:footer="0" w:header="0"/>
        </w:sectPr>
      </w:pPr>
    </w:p>
    <w:bookmarkStart w:id="17" w:name="page18"/>
    <w:bookmarkEnd w:id="17"/>
    <w:p>
      <w:pPr>
        <w:ind w:left="1076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6</w:t>
      </w:r>
    </w:p>
    <w:p>
      <w:pPr>
        <w:sectPr>
          <w:pgSz w:w="11900" w:h="16838" w:orient="portrait"/>
          <w:cols w:equalWidth="0" w:num="1">
            <w:col w:w="11040"/>
          </w:cols>
          <w:pgMar w:left="320" w:top="298" w:right="5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3162935"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0"/>
          <w:szCs w:val="20"/>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957195" cy="2143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Service revenues increased 6% primarily due to:</w:t>
      </w:r>
    </w:p>
    <w:p>
      <w:pPr>
        <w:spacing w:after="0" w:line="63" w:lineRule="exact"/>
        <w:rPr>
          <w:sz w:val="20"/>
          <w:szCs w:val="20"/>
          <w:color w:val="auto"/>
        </w:rPr>
      </w:pPr>
    </w:p>
    <w:p>
      <w:pPr>
        <w:ind w:left="320" w:hanging="317"/>
        <w:spacing w:after="0" w:line="281" w:lineRule="auto"/>
        <w:tabs>
          <w:tab w:leader="none" w:pos="307" w:val="left"/>
        </w:tabs>
        <w:numPr>
          <w:ilvl w:val="0"/>
          <w:numId w:val="23"/>
        </w:numPr>
        <w:rPr>
          <w:rFonts w:ascii="Arial" w:cs="Arial" w:eastAsia="Arial" w:hAnsi="Arial"/>
          <w:sz w:val="18"/>
          <w:szCs w:val="18"/>
          <w:color w:val="E20074"/>
        </w:rPr>
      </w:pPr>
      <w:r>
        <w:rPr>
          <w:rFonts w:ascii="Arial" w:cs="Arial" w:eastAsia="Arial" w:hAnsi="Arial"/>
          <w:sz w:val="18"/>
          <w:szCs w:val="18"/>
          <w:color w:val="666666"/>
        </w:rPr>
        <w:t>An increase in Postpaid service revenues, including following the acquisitions of UScellular and Metronet during Q3 2025</w:t>
      </w:r>
    </w:p>
    <w:p>
      <w:pPr>
        <w:spacing w:after="0" w:line="1" w:lineRule="exact"/>
        <w:rPr>
          <w:rFonts w:ascii="Arial" w:cs="Arial" w:eastAsia="Arial" w:hAnsi="Arial"/>
          <w:sz w:val="18"/>
          <w:szCs w:val="18"/>
          <w:color w:val="E20074"/>
        </w:rPr>
      </w:pPr>
    </w:p>
    <w:p>
      <w:pPr>
        <w:ind w:left="320" w:hanging="317"/>
        <w:spacing w:after="0"/>
        <w:tabs>
          <w:tab w:leader="none" w:pos="320" w:val="left"/>
        </w:tabs>
        <w:numPr>
          <w:ilvl w:val="0"/>
          <w:numId w:val="23"/>
        </w:numPr>
        <w:rPr>
          <w:rFonts w:ascii="Arial" w:cs="Arial" w:eastAsia="Arial" w:hAnsi="Arial"/>
          <w:sz w:val="18"/>
          <w:szCs w:val="18"/>
          <w:color w:val="E20074"/>
        </w:rPr>
      </w:pPr>
      <w:r>
        <w:rPr>
          <w:rFonts w:ascii="Arial" w:cs="Arial" w:eastAsia="Arial" w:hAnsi="Arial"/>
          <w:sz w:val="18"/>
          <w:szCs w:val="18"/>
          <w:color w:val="666666"/>
        </w:rPr>
        <w:t>Partially offset by lower Prepaid service revenues</w:t>
      </w:r>
    </w:p>
    <w:p>
      <w:pPr>
        <w:spacing w:after="0" w:line="395"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Service revenues increased 2% primarily due to:</w:t>
      </w:r>
    </w:p>
    <w:p>
      <w:pPr>
        <w:spacing w:after="0" w:line="63"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8"/>
          <w:szCs w:val="18"/>
          <w:color w:val="E20074"/>
        </w:rPr>
      </w:pPr>
      <w:r>
        <w:rPr>
          <w:rFonts w:ascii="Arial" w:cs="Arial" w:eastAsia="Arial" w:hAnsi="Arial"/>
          <w:sz w:val="18"/>
          <w:szCs w:val="18"/>
          <w:color w:val="666666"/>
        </w:rPr>
        <w:t>An increase in Postpaid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1140460</wp:posOffset>
            </wp:positionV>
            <wp:extent cx="713232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180"/>
          </w:cols>
          <w:pgMar w:left="320" w:top="29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Postpaid service revenues increased 9% primarily due to:</w:t>
      </w:r>
    </w:p>
    <w:p>
      <w:pPr>
        <w:spacing w:after="0" w:line="63" w:lineRule="exact"/>
        <w:rPr>
          <w:sz w:val="20"/>
          <w:szCs w:val="20"/>
          <w:color w:val="auto"/>
        </w:rPr>
      </w:pPr>
    </w:p>
    <w:p>
      <w:pPr>
        <w:ind w:left="340" w:right="360" w:hanging="332"/>
        <w:spacing w:after="0" w:line="281" w:lineRule="auto"/>
        <w:tabs>
          <w:tab w:leader="none" w:pos="327" w:val="left"/>
        </w:tabs>
        <w:numPr>
          <w:ilvl w:val="0"/>
          <w:numId w:val="25"/>
        </w:numPr>
        <w:rPr>
          <w:rFonts w:ascii="Arial" w:cs="Arial" w:eastAsia="Arial" w:hAnsi="Arial"/>
          <w:sz w:val="18"/>
          <w:szCs w:val="18"/>
          <w:color w:val="E20074"/>
        </w:rPr>
      </w:pPr>
      <w:r>
        <w:rPr>
          <w:rFonts w:ascii="Arial" w:cs="Arial" w:eastAsia="Arial" w:hAnsi="Arial"/>
          <w:sz w:val="18"/>
          <w:szCs w:val="18"/>
          <w:color w:val="666666"/>
        </w:rPr>
        <w:t>Higher average postpaid accounts, including following the acquisitions of UScellular and Metronet during Q3 2025</w:t>
      </w:r>
    </w:p>
    <w:p>
      <w:pPr>
        <w:spacing w:after="0" w:line="1" w:lineRule="exact"/>
        <w:rPr>
          <w:rFonts w:ascii="Arial" w:cs="Arial" w:eastAsia="Arial" w:hAnsi="Arial"/>
          <w:sz w:val="18"/>
          <w:szCs w:val="18"/>
          <w:color w:val="E20074"/>
        </w:rPr>
      </w:pPr>
    </w:p>
    <w:p>
      <w:pPr>
        <w:ind w:left="320" w:hanging="312"/>
        <w:spacing w:after="0"/>
        <w:tabs>
          <w:tab w:leader="none" w:pos="320" w:val="left"/>
        </w:tabs>
        <w:numPr>
          <w:ilvl w:val="0"/>
          <w:numId w:val="25"/>
        </w:numPr>
        <w:rPr>
          <w:rFonts w:ascii="Arial" w:cs="Arial" w:eastAsia="Arial" w:hAnsi="Arial"/>
          <w:sz w:val="18"/>
          <w:szCs w:val="18"/>
          <w:color w:val="E20074"/>
        </w:rPr>
      </w:pPr>
      <w:r>
        <w:rPr>
          <w:rFonts w:ascii="Arial" w:cs="Arial" w:eastAsia="Arial" w:hAnsi="Arial"/>
          <w:sz w:val="18"/>
          <w:szCs w:val="18"/>
          <w:color w:val="666666"/>
        </w:rPr>
        <w:t>Higher postpaid ARPA</w:t>
      </w:r>
    </w:p>
    <w:p>
      <w:pPr>
        <w:spacing w:after="0" w:line="395"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Postpaid service revenues increased 3% primarily due to:</w:t>
      </w:r>
    </w:p>
    <w:p>
      <w:pPr>
        <w:spacing w:after="0" w:line="63"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E20074"/>
        </w:rPr>
      </w:pPr>
      <w:r>
        <w:rPr>
          <w:rFonts w:ascii="Arial" w:cs="Arial" w:eastAsia="Arial" w:hAnsi="Arial"/>
          <w:sz w:val="18"/>
          <w:szCs w:val="18"/>
          <w:color w:val="666666"/>
        </w:rPr>
        <w:t>Higher postpaid ARPA</w:t>
      </w:r>
    </w:p>
    <w:p>
      <w:pPr>
        <w:spacing w:after="0" w:line="63" w:lineRule="exact"/>
        <w:rPr>
          <w:rFonts w:ascii="Arial" w:cs="Arial" w:eastAsia="Arial" w:hAnsi="Arial"/>
          <w:sz w:val="18"/>
          <w:szCs w:val="18"/>
          <w:color w:val="E20074"/>
        </w:rPr>
      </w:pPr>
    </w:p>
    <w:p>
      <w:pPr>
        <w:ind w:left="320" w:hanging="312"/>
        <w:spacing w:after="0"/>
        <w:tabs>
          <w:tab w:leader="none" w:pos="320" w:val="left"/>
        </w:tabs>
        <w:numPr>
          <w:ilvl w:val="0"/>
          <w:numId w:val="26"/>
        </w:numPr>
        <w:rPr>
          <w:rFonts w:ascii="Arial" w:cs="Arial" w:eastAsia="Arial" w:hAnsi="Arial"/>
          <w:sz w:val="18"/>
          <w:szCs w:val="18"/>
          <w:color w:val="E20074"/>
        </w:rPr>
      </w:pPr>
      <w:r>
        <w:rPr>
          <w:rFonts w:ascii="Arial" w:cs="Arial" w:eastAsia="Arial" w:hAnsi="Arial"/>
          <w:sz w:val="18"/>
          <w:szCs w:val="18"/>
          <w:color w:val="666666"/>
        </w:rPr>
        <w:t>Higher average postpaid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Postpaid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-183515</wp:posOffset>
            </wp:positionV>
            <wp:extent cx="3162935" cy="342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70485</wp:posOffset>
            </wp:positionV>
            <wp:extent cx="7140575" cy="27603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276034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70485</wp:posOffset>
            </wp:positionV>
            <wp:extent cx="7140575" cy="27603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2760345"/>
                    </a:xfrm>
                    <a:prstGeom prst="rect">
                      <a:avLst/>
                    </a:prstGeom>
                    <a:noFill/>
                  </pic:spPr>
                </pic:pic>
              </a:graphicData>
            </a:graphic>
          </wp:anchor>
        </w:drawing>
      </w:r>
    </w:p>
    <w:p>
      <w:pPr>
        <w:sectPr>
          <w:pgSz w:w="11900" w:h="16838" w:orient="portrait"/>
          <w:cols w:equalWidth="0" w:num="2">
            <w:col w:w="5280" w:space="720"/>
            <w:col w:w="5040"/>
          </w:cols>
          <w:pgMar w:left="320" w:top="298" w:right="5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162935"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Equipment Revenues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957195" cy="2143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80"/>
        <w:spacing w:after="0"/>
        <w:rPr>
          <w:sz w:val="20"/>
          <w:szCs w:val="20"/>
          <w:color w:val="auto"/>
        </w:rPr>
      </w:pPr>
      <w:r>
        <w:rPr>
          <w:rFonts w:ascii="Arial" w:cs="Arial" w:eastAsia="Arial" w:hAnsi="Arial"/>
          <w:sz w:val="32"/>
          <w:szCs w:val="32"/>
          <w:b w:val="1"/>
          <w:bCs w:val="1"/>
          <w:color w:val="E2007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-316865</wp:posOffset>
            </wp:positionV>
            <wp:extent cx="7140575" cy="436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4368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Equipment revenues increased 13% primarily due to:</w:t>
      </w:r>
    </w:p>
    <w:p>
      <w:pPr>
        <w:spacing w:after="0" w:line="63" w:lineRule="exact"/>
        <w:rPr>
          <w:sz w:val="20"/>
          <w:szCs w:val="20"/>
          <w:color w:val="auto"/>
        </w:rPr>
      </w:pPr>
    </w:p>
    <w:p>
      <w:pPr>
        <w:ind w:left="320" w:hanging="317"/>
        <w:spacing w:after="0" w:line="268" w:lineRule="auto"/>
        <w:tabs>
          <w:tab w:leader="none" w:pos="307" w:val="left"/>
        </w:tabs>
        <w:numPr>
          <w:ilvl w:val="0"/>
          <w:numId w:val="27"/>
        </w:numPr>
        <w:rPr>
          <w:rFonts w:ascii="Arial" w:cs="Arial" w:eastAsia="Arial" w:hAnsi="Arial"/>
          <w:sz w:val="18"/>
          <w:szCs w:val="18"/>
          <w:i w:val="1"/>
          <w:iCs w:val="1"/>
          <w:color w:val="E20074"/>
        </w:rPr>
      </w:pPr>
      <w:r>
        <w:rPr>
          <w:rFonts w:ascii="Arial" w:cs="Arial" w:eastAsia="Arial" w:hAnsi="Arial"/>
          <w:sz w:val="18"/>
          <w:szCs w:val="18"/>
          <w:color w:val="666666"/>
        </w:rPr>
        <w:t>Higher average revenue per device sold, net of promotions, primarily driven by an increase in the high-end phone mix and higher manufacturer pricing</w:t>
      </w:r>
    </w:p>
    <w:p>
      <w:pPr>
        <w:spacing w:after="0" w:line="8" w:lineRule="exact"/>
        <w:rPr>
          <w:rFonts w:ascii="Arial" w:cs="Arial" w:eastAsia="Arial" w:hAnsi="Arial"/>
          <w:sz w:val="18"/>
          <w:szCs w:val="18"/>
          <w:i w:val="1"/>
          <w:iCs w:val="1"/>
          <w:color w:val="E20074"/>
        </w:rPr>
      </w:pPr>
    </w:p>
    <w:p>
      <w:pPr>
        <w:jc w:val="both"/>
        <w:ind w:left="320" w:right="140" w:hanging="317"/>
        <w:spacing w:after="0" w:line="268" w:lineRule="auto"/>
        <w:tabs>
          <w:tab w:leader="none" w:pos="307" w:val="left"/>
        </w:tabs>
        <w:numPr>
          <w:ilvl w:val="0"/>
          <w:numId w:val="27"/>
        </w:numPr>
        <w:rPr>
          <w:rFonts w:ascii="Arial" w:cs="Arial" w:eastAsia="Arial" w:hAnsi="Arial"/>
          <w:sz w:val="18"/>
          <w:szCs w:val="18"/>
          <w:i w:val="1"/>
          <w:iCs w:val="1"/>
          <w:color w:val="E20074"/>
        </w:rPr>
      </w:pPr>
      <w:r>
        <w:rPr>
          <w:rFonts w:ascii="Arial" w:cs="Arial" w:eastAsia="Arial" w:hAnsi="Arial"/>
          <w:sz w:val="18"/>
          <w:szCs w:val="18"/>
          <w:color w:val="666666"/>
        </w:rPr>
        <w:t>Higher liquidation revenue, primarily due to a higher number of liquidated devices and an increase in the high-end phone mix</w:t>
      </w:r>
    </w:p>
    <w:p>
      <w:pPr>
        <w:spacing w:after="0" w:line="8" w:lineRule="exact"/>
        <w:rPr>
          <w:rFonts w:ascii="Arial" w:cs="Arial" w:eastAsia="Arial" w:hAnsi="Arial"/>
          <w:sz w:val="18"/>
          <w:szCs w:val="18"/>
          <w:i w:val="1"/>
          <w:iCs w:val="1"/>
          <w:color w:val="E20074"/>
        </w:rPr>
      </w:pPr>
    </w:p>
    <w:p>
      <w:pPr>
        <w:ind w:left="320" w:right="220" w:hanging="317"/>
        <w:spacing w:after="0" w:line="287" w:lineRule="auto"/>
        <w:tabs>
          <w:tab w:leader="none" w:pos="307" w:val="left"/>
        </w:tabs>
        <w:numPr>
          <w:ilvl w:val="0"/>
          <w:numId w:val="27"/>
        </w:numPr>
        <w:rPr>
          <w:rFonts w:ascii="Arial" w:cs="Arial" w:eastAsia="Arial" w:hAnsi="Arial"/>
          <w:sz w:val="18"/>
          <w:szCs w:val="18"/>
          <w:i w:val="1"/>
          <w:iCs w:val="1"/>
          <w:color w:val="E20074"/>
        </w:rPr>
      </w:pPr>
      <w:r>
        <w:rPr>
          <w:rFonts w:ascii="Arial" w:cs="Arial" w:eastAsia="Arial" w:hAnsi="Arial"/>
          <w:sz w:val="18"/>
          <w:szCs w:val="18"/>
          <w:color w:val="666666"/>
        </w:rPr>
        <w:t>Partially offset by a decrease in the total number of devices sold, primarily driven by lower prepaid devices</w:t>
      </w:r>
    </w:p>
    <w:p>
      <w:pPr>
        <w:spacing w:after="0" w:line="323"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highlight w:val="lightGray"/>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Equipment revenues increased 11% primarily due to:</w:t>
      </w:r>
    </w:p>
    <w:p>
      <w:pPr>
        <w:spacing w:after="0" w:line="63" w:lineRule="exact"/>
        <w:rPr>
          <w:sz w:val="20"/>
          <w:szCs w:val="20"/>
          <w:color w:val="auto"/>
        </w:rPr>
      </w:pPr>
    </w:p>
    <w:p>
      <w:pPr>
        <w:ind w:left="320" w:right="200" w:hanging="317"/>
        <w:spacing w:after="0" w:line="268" w:lineRule="auto"/>
        <w:tabs>
          <w:tab w:leader="none" w:pos="307" w:val="left"/>
        </w:tabs>
        <w:numPr>
          <w:ilvl w:val="0"/>
          <w:numId w:val="28"/>
        </w:numPr>
        <w:rPr>
          <w:rFonts w:ascii="Arial" w:cs="Arial" w:eastAsia="Arial" w:hAnsi="Arial"/>
          <w:sz w:val="18"/>
          <w:szCs w:val="18"/>
          <w:i w:val="1"/>
          <w:iCs w:val="1"/>
          <w:color w:val="E20074"/>
        </w:rPr>
      </w:pPr>
      <w:r>
        <w:rPr>
          <w:rFonts w:ascii="Arial" w:cs="Arial" w:eastAsia="Arial" w:hAnsi="Arial"/>
          <w:sz w:val="18"/>
          <w:szCs w:val="18"/>
          <w:color w:val="666666"/>
        </w:rPr>
        <w:t>Higher average revenue per device sold, net of promotions, primarily driven by higher manufacturer pricing and an increase in the high-end phone mix</w:t>
      </w:r>
    </w:p>
    <w:p>
      <w:pPr>
        <w:spacing w:after="0" w:line="8" w:lineRule="exact"/>
        <w:rPr>
          <w:rFonts w:ascii="Arial" w:cs="Arial" w:eastAsia="Arial" w:hAnsi="Arial"/>
          <w:sz w:val="18"/>
          <w:szCs w:val="18"/>
          <w:i w:val="1"/>
          <w:iCs w:val="1"/>
          <w:color w:val="E20074"/>
        </w:rPr>
      </w:pPr>
    </w:p>
    <w:p>
      <w:pPr>
        <w:ind w:left="320" w:hanging="317"/>
        <w:spacing w:after="0"/>
        <w:tabs>
          <w:tab w:leader="none" w:pos="320" w:val="left"/>
        </w:tabs>
        <w:numPr>
          <w:ilvl w:val="0"/>
          <w:numId w:val="28"/>
        </w:numPr>
        <w:rPr>
          <w:rFonts w:ascii="Arial" w:cs="Arial" w:eastAsia="Arial" w:hAnsi="Arial"/>
          <w:sz w:val="18"/>
          <w:szCs w:val="18"/>
          <w:i w:val="1"/>
          <w:iCs w:val="1"/>
          <w:color w:val="E20074"/>
        </w:rPr>
      </w:pPr>
      <w:r>
        <w:rPr>
          <w:rFonts w:ascii="Arial" w:cs="Arial" w:eastAsia="Arial" w:hAnsi="Arial"/>
          <w:sz w:val="18"/>
          <w:szCs w:val="18"/>
          <w:color w:val="666666"/>
        </w:rPr>
        <w:t>A higher number of devices sold, including seasonal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180340</wp:posOffset>
            </wp:positionV>
            <wp:extent cx="713232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40"/>
          </w:cols>
          <w:pgMar w:left="320" w:top="298" w:right="47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Cost of equipment sales, exclusive of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Amortization (D&amp;A), increased 12% primarily due to:</w:t>
      </w:r>
    </w:p>
    <w:p>
      <w:pPr>
        <w:spacing w:after="0" w:line="45" w:lineRule="exact"/>
        <w:rPr>
          <w:sz w:val="20"/>
          <w:szCs w:val="20"/>
          <w:color w:val="auto"/>
        </w:rPr>
      </w:pPr>
    </w:p>
    <w:p>
      <w:pPr>
        <w:ind w:left="340" w:right="120" w:hanging="332"/>
        <w:spacing w:after="0" w:line="268" w:lineRule="auto"/>
        <w:tabs>
          <w:tab w:leader="none" w:pos="327" w:val="left"/>
        </w:tabs>
        <w:numPr>
          <w:ilvl w:val="0"/>
          <w:numId w:val="29"/>
        </w:numPr>
        <w:rPr>
          <w:rFonts w:ascii="Arial" w:cs="Arial" w:eastAsia="Arial" w:hAnsi="Arial"/>
          <w:sz w:val="18"/>
          <w:szCs w:val="18"/>
          <w:color w:val="E20074"/>
        </w:rPr>
      </w:pPr>
      <w:r>
        <w:rPr>
          <w:rFonts w:ascii="Arial" w:cs="Arial" w:eastAsia="Arial" w:hAnsi="Arial"/>
          <w:sz w:val="18"/>
          <w:szCs w:val="18"/>
          <w:color w:val="666666"/>
        </w:rPr>
        <w:t>Higher average cost per device sold, primarily driven by higher manufacturer pricing and an increase in the high-end phone mix</w:t>
      </w:r>
    </w:p>
    <w:p>
      <w:pPr>
        <w:spacing w:after="0" w:line="8" w:lineRule="exact"/>
        <w:rPr>
          <w:rFonts w:ascii="Arial" w:cs="Arial" w:eastAsia="Arial" w:hAnsi="Arial"/>
          <w:sz w:val="18"/>
          <w:szCs w:val="18"/>
          <w:color w:val="E20074"/>
        </w:rPr>
      </w:pPr>
    </w:p>
    <w:p>
      <w:pPr>
        <w:ind w:left="340" w:hanging="332"/>
        <w:spacing w:after="0" w:line="298" w:lineRule="auto"/>
        <w:tabs>
          <w:tab w:leader="none" w:pos="327" w:val="left"/>
        </w:tabs>
        <w:numPr>
          <w:ilvl w:val="0"/>
          <w:numId w:val="29"/>
        </w:numPr>
        <w:rPr>
          <w:rFonts w:ascii="Arial" w:cs="Arial" w:eastAsia="Arial" w:hAnsi="Arial"/>
          <w:sz w:val="17"/>
          <w:szCs w:val="17"/>
          <w:color w:val="E20074"/>
        </w:rPr>
      </w:pPr>
      <w:r>
        <w:rPr>
          <w:rFonts w:ascii="Arial" w:cs="Arial" w:eastAsia="Arial" w:hAnsi="Arial"/>
          <w:sz w:val="17"/>
          <w:szCs w:val="17"/>
          <w:color w:val="666666"/>
        </w:rPr>
        <w:t>Higher liquidation costs, primarily due to a higher number of liquidated devices and an increase in the high-end phone mix</w:t>
      </w:r>
    </w:p>
    <w:p>
      <w:pPr>
        <w:ind w:left="340" w:right="200" w:hanging="332"/>
        <w:spacing w:after="0" w:line="287" w:lineRule="auto"/>
        <w:tabs>
          <w:tab w:leader="none" w:pos="327" w:val="left"/>
        </w:tabs>
        <w:numPr>
          <w:ilvl w:val="0"/>
          <w:numId w:val="29"/>
        </w:numPr>
        <w:rPr>
          <w:rFonts w:ascii="Arial" w:cs="Arial" w:eastAsia="Arial" w:hAnsi="Arial"/>
          <w:sz w:val="18"/>
          <w:szCs w:val="18"/>
          <w:color w:val="E20074"/>
        </w:rPr>
      </w:pPr>
      <w:r>
        <w:rPr>
          <w:rFonts w:ascii="Arial" w:cs="Arial" w:eastAsia="Arial" w:hAnsi="Arial"/>
          <w:sz w:val="18"/>
          <w:szCs w:val="18"/>
          <w:color w:val="666666"/>
        </w:rPr>
        <w:t>Partially offset by a decrease in the total number of devices sold, primarily driven by lower prepaid devices</w:t>
      </w:r>
    </w:p>
    <w:p>
      <w:pPr>
        <w:spacing w:after="0" w:line="377"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highlight w:val="lightGray"/>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color w:val="666666"/>
        </w:rPr>
        <w:t>Cost of equipment sales, exclusive of D&amp;A, increased 8% primarily due to:</w:t>
      </w:r>
    </w:p>
    <w:p>
      <w:pPr>
        <w:spacing w:after="0" w:line="1" w:lineRule="exact"/>
        <w:rPr>
          <w:sz w:val="20"/>
          <w:szCs w:val="20"/>
          <w:color w:val="auto"/>
        </w:rPr>
      </w:pPr>
    </w:p>
    <w:p>
      <w:pPr>
        <w:ind w:left="340" w:right="120" w:hanging="332"/>
        <w:spacing w:after="0" w:line="268" w:lineRule="auto"/>
        <w:tabs>
          <w:tab w:leader="none" w:pos="327" w:val="left"/>
        </w:tabs>
        <w:numPr>
          <w:ilvl w:val="0"/>
          <w:numId w:val="30"/>
        </w:numPr>
        <w:rPr>
          <w:rFonts w:ascii="Arial" w:cs="Arial" w:eastAsia="Arial" w:hAnsi="Arial"/>
          <w:sz w:val="18"/>
          <w:szCs w:val="18"/>
          <w:color w:val="E20074"/>
        </w:rPr>
      </w:pPr>
      <w:r>
        <w:rPr>
          <w:rFonts w:ascii="Arial" w:cs="Arial" w:eastAsia="Arial" w:hAnsi="Arial"/>
          <w:sz w:val="18"/>
          <w:szCs w:val="18"/>
          <w:color w:val="666666"/>
        </w:rPr>
        <w:t>Higher average cost per device sold, primarily driven by higher manufacturer pricing and an increase in the high-end phone mix</w:t>
      </w:r>
    </w:p>
    <w:p>
      <w:pPr>
        <w:spacing w:after="0" w:line="8" w:lineRule="exact"/>
        <w:rPr>
          <w:rFonts w:ascii="Arial" w:cs="Arial" w:eastAsia="Arial" w:hAnsi="Arial"/>
          <w:sz w:val="18"/>
          <w:szCs w:val="18"/>
          <w:color w:val="E20074"/>
        </w:rPr>
      </w:pPr>
    </w:p>
    <w:p>
      <w:pPr>
        <w:ind w:left="320" w:hanging="312"/>
        <w:spacing w:after="0"/>
        <w:tabs>
          <w:tab w:leader="none" w:pos="320" w:val="left"/>
        </w:tabs>
        <w:numPr>
          <w:ilvl w:val="0"/>
          <w:numId w:val="30"/>
        </w:numPr>
        <w:rPr>
          <w:rFonts w:ascii="Arial" w:cs="Arial" w:eastAsia="Arial" w:hAnsi="Arial"/>
          <w:sz w:val="18"/>
          <w:szCs w:val="18"/>
          <w:i w:val="1"/>
          <w:iCs w:val="1"/>
          <w:color w:val="E20074"/>
        </w:rPr>
      </w:pPr>
      <w:r>
        <w:rPr>
          <w:rFonts w:ascii="Arial" w:cs="Arial" w:eastAsia="Arial" w:hAnsi="Arial"/>
          <w:sz w:val="18"/>
          <w:szCs w:val="18"/>
          <w:color w:val="666666"/>
        </w:rPr>
        <w:t>A higher number of devices sold, including seasonal trends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140" w:right="540"/>
        <w:spacing w:after="0" w:line="228" w:lineRule="auto"/>
        <w:rPr>
          <w:sz w:val="20"/>
          <w:szCs w:val="20"/>
          <w:color w:val="auto"/>
        </w:rPr>
      </w:pPr>
      <w:r>
        <w:rPr>
          <w:rFonts w:ascii="Arial" w:cs="Arial" w:eastAsia="Arial" w:hAnsi="Arial"/>
          <w:sz w:val="25"/>
          <w:szCs w:val="25"/>
          <w:b w:val="1"/>
          <w:bCs w:val="1"/>
          <w:color w:val="auto"/>
        </w:rPr>
        <w:t>Cost of Equipment Sales, exclusive of 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3162935" cy="506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62935" cy="5060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20"/>
          <w:szCs w:val="20"/>
          <w:b w:val="1"/>
          <w:bCs w:val="1"/>
          <w:color w:val="auto"/>
        </w:rPr>
        <w:t>($ in millions, % of Equipment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2957195" cy="213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5719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666666"/>
        </w:rPr>
        <w:t>*Equipment sales is defined as Equipment revenues less Lease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838200</wp:posOffset>
            </wp:positionV>
            <wp:extent cx="7140575" cy="471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2">
            <w:col w:w="5220" w:space="640"/>
            <w:col w:w="5240"/>
          </w:cols>
          <w:pgMar w:left="320" w:top="298" w:right="47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162935" cy="360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629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Cost of Services, exclusive of D&amp;A</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in millions, % of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2957195" cy="2143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32"/>
          <w:szCs w:val="32"/>
          <w:b w:val="1"/>
          <w:bCs w:val="1"/>
          <w:color w:val="E2007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-316865</wp:posOffset>
            </wp:positionV>
            <wp:extent cx="7140575" cy="436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4368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84"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666666"/>
        </w:rPr>
        <w:t>Cost of services, exclusive of D&amp;A, increased 5% primarily due to:</w:t>
      </w:r>
    </w:p>
    <w:p>
      <w:pPr>
        <w:spacing w:after="0" w:line="1" w:lineRule="exact"/>
        <w:rPr>
          <w:sz w:val="20"/>
          <w:szCs w:val="20"/>
          <w:color w:val="auto"/>
        </w:rPr>
      </w:pPr>
    </w:p>
    <w:p>
      <w:pPr>
        <w:ind w:left="320" w:right="20" w:hanging="317"/>
        <w:spacing w:after="0" w:line="281" w:lineRule="auto"/>
        <w:tabs>
          <w:tab w:leader="none" w:pos="307" w:val="left"/>
        </w:tabs>
        <w:numPr>
          <w:ilvl w:val="0"/>
          <w:numId w:val="31"/>
        </w:numPr>
        <w:rPr>
          <w:rFonts w:ascii="Arial" w:cs="Arial" w:eastAsia="Arial" w:hAnsi="Arial"/>
          <w:sz w:val="18"/>
          <w:szCs w:val="18"/>
          <w:i w:val="1"/>
          <w:iCs w:val="1"/>
          <w:color w:val="E20074"/>
        </w:rPr>
      </w:pPr>
      <w:r>
        <w:rPr>
          <w:rFonts w:ascii="Arial" w:cs="Arial" w:eastAsia="Arial" w:hAnsi="Arial"/>
          <w:sz w:val="18"/>
          <w:szCs w:val="18"/>
          <w:color w:val="666666"/>
        </w:rPr>
        <w:t>Higher wholesale network access costs and amortization of customer installation fees paid to Metronet and Lumos</w:t>
      </w:r>
    </w:p>
    <w:p>
      <w:pPr>
        <w:spacing w:after="0" w:line="1" w:lineRule="exact"/>
        <w:rPr>
          <w:rFonts w:ascii="Arial" w:cs="Arial" w:eastAsia="Arial" w:hAnsi="Arial"/>
          <w:sz w:val="18"/>
          <w:szCs w:val="18"/>
          <w:i w:val="1"/>
          <w:iCs w:val="1"/>
          <w:color w:val="E20074"/>
        </w:rPr>
      </w:pPr>
    </w:p>
    <w:p>
      <w:pPr>
        <w:ind w:left="320" w:hanging="317"/>
        <w:spacing w:after="0"/>
        <w:tabs>
          <w:tab w:leader="none" w:pos="320" w:val="left"/>
        </w:tabs>
        <w:numPr>
          <w:ilvl w:val="0"/>
          <w:numId w:val="31"/>
        </w:numPr>
        <w:rPr>
          <w:rFonts w:ascii="Arial" w:cs="Arial" w:eastAsia="Arial" w:hAnsi="Arial"/>
          <w:sz w:val="18"/>
          <w:szCs w:val="18"/>
          <w:color w:val="E20074"/>
        </w:rPr>
      </w:pPr>
      <w:r>
        <w:rPr>
          <w:rFonts w:ascii="Arial" w:cs="Arial" w:eastAsia="Arial" w:hAnsi="Arial"/>
          <w:sz w:val="18"/>
          <w:szCs w:val="18"/>
          <w:color w:val="666666"/>
        </w:rPr>
        <w:t>Higher repair and maintenance expenses</w:t>
      </w:r>
    </w:p>
    <w:p>
      <w:pPr>
        <w:spacing w:after="0" w:line="395"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Cost of services, exclusive of D&amp;A, increased slightly.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1166495</wp:posOffset>
            </wp:positionV>
            <wp:extent cx="713232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060"/>
          </w:cols>
          <w:pgMar w:left="320" w:top="29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SG&amp;A expense was relatively flat primarily due to:</w:t>
      </w:r>
    </w:p>
    <w:p>
      <w:pPr>
        <w:spacing w:after="0" w:line="6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E20074"/>
        </w:rPr>
      </w:pPr>
      <w:r>
        <w:rPr>
          <w:rFonts w:ascii="Arial" w:cs="Arial" w:eastAsia="Arial" w:hAnsi="Arial"/>
          <w:sz w:val="18"/>
          <w:szCs w:val="18"/>
          <w:color w:val="666666"/>
        </w:rPr>
        <w:t>Lower business tax refunds and credits</w:t>
      </w:r>
    </w:p>
    <w:p>
      <w:pPr>
        <w:spacing w:after="0" w:line="63" w:lineRule="exact"/>
        <w:rPr>
          <w:rFonts w:ascii="Arial" w:cs="Arial" w:eastAsia="Arial" w:hAnsi="Arial"/>
          <w:sz w:val="18"/>
          <w:szCs w:val="18"/>
          <w:color w:val="E20074"/>
        </w:rPr>
      </w:pPr>
    </w:p>
    <w:p>
      <w:pPr>
        <w:ind w:left="320" w:hanging="312"/>
        <w:spacing w:after="0"/>
        <w:tabs>
          <w:tab w:leader="none" w:pos="320" w:val="left"/>
        </w:tabs>
        <w:numPr>
          <w:ilvl w:val="0"/>
          <w:numId w:val="32"/>
        </w:numPr>
        <w:rPr>
          <w:rFonts w:ascii="Arial" w:cs="Arial" w:eastAsia="Arial" w:hAnsi="Arial"/>
          <w:sz w:val="18"/>
          <w:szCs w:val="18"/>
          <w:color w:val="E20074"/>
        </w:rPr>
      </w:pPr>
      <w:r>
        <w:rPr>
          <w:rFonts w:ascii="Arial" w:cs="Arial" w:eastAsia="Arial" w:hAnsi="Arial"/>
          <w:sz w:val="18"/>
          <w:szCs w:val="18"/>
          <w:color w:val="666666"/>
        </w:rPr>
        <w:t>Higher bad debt expense</w:t>
      </w:r>
    </w:p>
    <w:p>
      <w:pPr>
        <w:spacing w:after="0" w:line="63" w:lineRule="exact"/>
        <w:rPr>
          <w:rFonts w:ascii="Arial" w:cs="Arial" w:eastAsia="Arial" w:hAnsi="Arial"/>
          <w:sz w:val="18"/>
          <w:szCs w:val="18"/>
          <w:color w:val="E20074"/>
        </w:rPr>
      </w:pPr>
    </w:p>
    <w:p>
      <w:pPr>
        <w:ind w:left="340" w:right="100" w:hanging="332"/>
        <w:spacing w:after="0" w:line="268" w:lineRule="auto"/>
        <w:tabs>
          <w:tab w:leader="none" w:pos="327" w:val="left"/>
        </w:tabs>
        <w:numPr>
          <w:ilvl w:val="0"/>
          <w:numId w:val="32"/>
        </w:numPr>
        <w:rPr>
          <w:rFonts w:ascii="Arial" w:cs="Arial" w:eastAsia="Arial" w:hAnsi="Arial"/>
          <w:sz w:val="18"/>
          <w:szCs w:val="18"/>
          <w:color w:val="E20074"/>
        </w:rPr>
      </w:pPr>
      <w:r>
        <w:rPr>
          <w:rFonts w:ascii="Arial" w:cs="Arial" w:eastAsia="Arial" w:hAnsi="Arial"/>
          <w:sz w:val="18"/>
          <w:szCs w:val="18"/>
          <w:color w:val="666666"/>
        </w:rPr>
        <w:t>Offset by lower personnel-related costs, including payroll and benefits, and lower external labor and professional services expenses</w:t>
      </w:r>
    </w:p>
    <w:p>
      <w:pPr>
        <w:spacing w:after="0" w:line="340"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SG&amp;A expense increased 3% primarily due to:</w:t>
      </w:r>
    </w:p>
    <w:p>
      <w:pPr>
        <w:spacing w:after="0" w:line="6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i w:val="1"/>
          <w:iCs w:val="1"/>
          <w:color w:val="E20074"/>
        </w:rPr>
      </w:pPr>
      <w:r>
        <w:rPr>
          <w:rFonts w:ascii="Arial" w:cs="Arial" w:eastAsia="Arial" w:hAnsi="Arial"/>
          <w:sz w:val="18"/>
          <w:szCs w:val="18"/>
          <w:color w:val="666666"/>
        </w:rPr>
        <w:t>Lower vendor credits related to software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80"/>
        <w:spacing w:after="0" w:line="228" w:lineRule="auto"/>
        <w:rPr>
          <w:sz w:val="20"/>
          <w:szCs w:val="20"/>
          <w:color w:val="auto"/>
        </w:rPr>
      </w:pPr>
      <w:r>
        <w:rPr>
          <w:rFonts w:ascii="Arial" w:cs="Arial" w:eastAsia="Arial" w:hAnsi="Arial"/>
          <w:sz w:val="25"/>
          <w:szCs w:val="25"/>
          <w:b w:val="1"/>
          <w:bCs w:val="1"/>
          <w:color w:val="auto"/>
        </w:rPr>
        <w:t>Selling, General and Administrative (SG&amp;A)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-347980</wp:posOffset>
            </wp:positionV>
            <wp:extent cx="3162935" cy="5054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62935" cy="5054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 in millions, % of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70485</wp:posOffset>
            </wp:positionV>
            <wp:extent cx="7140575" cy="2794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70485</wp:posOffset>
            </wp:positionV>
            <wp:extent cx="7140575" cy="2794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ectPr>
          <w:pgSz w:w="11900" w:h="16838" w:orient="portrait"/>
          <w:cols w:equalWidth="0" w:num="2">
            <w:col w:w="5280" w:space="720"/>
            <w:col w:w="4920"/>
          </w:cols>
          <w:pgMar w:left="320" w:top="298" w:right="65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162935" cy="342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Income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in millions, % of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78105</wp:posOffset>
            </wp:positionV>
            <wp:extent cx="2957195" cy="2143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2675255</wp:posOffset>
            </wp:positionV>
            <wp:extent cx="3162935"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Diluted Earnings Per Share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2957195" cy="2143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80"/>
        <w:spacing w:after="0"/>
        <w:rPr>
          <w:sz w:val="20"/>
          <w:szCs w:val="20"/>
          <w:color w:val="auto"/>
        </w:rPr>
      </w:pPr>
      <w:r>
        <w:rPr>
          <w:rFonts w:ascii="Arial" w:cs="Arial" w:eastAsia="Arial" w:hAnsi="Arial"/>
          <w:sz w:val="32"/>
          <w:szCs w:val="32"/>
          <w:b w:val="1"/>
          <w:bCs w:val="1"/>
          <w:color w:val="E2007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-316865</wp:posOffset>
            </wp:positionV>
            <wp:extent cx="7140575" cy="436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4368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jc w:val="both"/>
        <w:ind w:right="80"/>
        <w:spacing w:after="0" w:line="265" w:lineRule="auto"/>
        <w:rPr>
          <w:sz w:val="20"/>
          <w:szCs w:val="20"/>
          <w:color w:val="auto"/>
        </w:rPr>
      </w:pPr>
      <w:r>
        <w:rPr>
          <w:rFonts w:ascii="Arial" w:cs="Arial" w:eastAsia="Arial" w:hAnsi="Arial"/>
          <w:sz w:val="18"/>
          <w:szCs w:val="18"/>
          <w:b w:val="1"/>
          <w:bCs w:val="1"/>
          <w:color w:val="666666"/>
        </w:rPr>
        <w:t>Net income was $3.5 billion and Diluted earnings per share was $3.22 in Q3 2026, compared to $ 2.7 billion and $2.41 in Q3 2025, primarily due to the factors described above and included the following:</w:t>
      </w:r>
    </w:p>
    <w:p>
      <w:pPr>
        <w:spacing w:after="0" w:line="4" w:lineRule="exact"/>
        <w:rPr>
          <w:sz w:val="20"/>
          <w:szCs w:val="20"/>
          <w:color w:val="auto"/>
        </w:rPr>
      </w:pPr>
    </w:p>
    <w:p>
      <w:pPr>
        <w:ind w:left="320" w:right="20" w:hanging="317"/>
        <w:spacing w:after="0" w:line="268" w:lineRule="auto"/>
        <w:tabs>
          <w:tab w:leader="none" w:pos="307" w:val="left"/>
        </w:tabs>
        <w:numPr>
          <w:ilvl w:val="0"/>
          <w:numId w:val="34"/>
        </w:numPr>
        <w:rPr>
          <w:rFonts w:ascii="Arial" w:cs="Arial" w:eastAsia="Arial" w:hAnsi="Arial"/>
          <w:sz w:val="18"/>
          <w:szCs w:val="18"/>
          <w:color w:val="E20074"/>
        </w:rPr>
      </w:pPr>
      <w:r>
        <w:rPr>
          <w:rFonts w:ascii="Arial" w:cs="Arial" w:eastAsia="Arial" w:hAnsi="Arial"/>
          <w:sz w:val="18"/>
          <w:szCs w:val="18"/>
          <w:color w:val="666666"/>
        </w:rPr>
        <w:t>UScellular merger-related costs, net of tax, of $98 million, or $0.09 per share, in Q3 2026 and $55 million, or $0.05 per share, in Q3 2025</w:t>
      </w:r>
    </w:p>
    <w:p>
      <w:pPr>
        <w:spacing w:after="0" w:line="8" w:lineRule="exact"/>
        <w:rPr>
          <w:rFonts w:ascii="Arial" w:cs="Arial" w:eastAsia="Arial" w:hAnsi="Arial"/>
          <w:sz w:val="18"/>
          <w:szCs w:val="18"/>
          <w:color w:val="E20074"/>
        </w:rPr>
      </w:pPr>
    </w:p>
    <w:p>
      <w:pPr>
        <w:ind w:left="320" w:hanging="317"/>
        <w:spacing w:after="0" w:line="268" w:lineRule="auto"/>
        <w:tabs>
          <w:tab w:leader="none" w:pos="307" w:val="left"/>
        </w:tabs>
        <w:numPr>
          <w:ilvl w:val="0"/>
          <w:numId w:val="34"/>
        </w:numPr>
        <w:rPr>
          <w:rFonts w:ascii="Arial" w:cs="Arial" w:eastAsia="Arial" w:hAnsi="Arial"/>
          <w:sz w:val="18"/>
          <w:szCs w:val="18"/>
          <w:b w:val="1"/>
          <w:bCs w:val="1"/>
          <w:color w:val="E20074"/>
        </w:rPr>
      </w:pPr>
      <w:r>
        <w:rPr>
          <w:rFonts w:ascii="Arial" w:cs="Arial" w:eastAsia="Arial" w:hAnsi="Arial"/>
          <w:sz w:val="18"/>
          <w:szCs w:val="18"/>
          <w:color w:val="666666"/>
        </w:rPr>
        <w:t>Impairment expense related to certain capitalized software development costs, net of tax, in Q3 2025 of $208 million, or $0.18 per share</w:t>
      </w:r>
    </w:p>
    <w:p>
      <w:pPr>
        <w:spacing w:after="0" w:line="340"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jc w:val="both"/>
        <w:ind w:right="80"/>
        <w:spacing w:after="0" w:line="265" w:lineRule="auto"/>
        <w:rPr>
          <w:sz w:val="20"/>
          <w:szCs w:val="20"/>
          <w:color w:val="auto"/>
        </w:rPr>
      </w:pPr>
      <w:r>
        <w:rPr>
          <w:rFonts w:ascii="Arial" w:cs="Arial" w:eastAsia="Arial" w:hAnsi="Arial"/>
          <w:sz w:val="18"/>
          <w:szCs w:val="18"/>
          <w:b w:val="1"/>
          <w:bCs w:val="1"/>
          <w:color w:val="666666"/>
        </w:rPr>
        <w:t>Net income was $3.5 billion and Diluted earnings per share was $3.22 in Q3 2026, compared to $ 3.2 billion and $2.99 in Q2 2026, primarily due to the factors described above and included the following:</w:t>
      </w:r>
    </w:p>
    <w:p>
      <w:pPr>
        <w:spacing w:after="0" w:line="4" w:lineRule="exact"/>
        <w:rPr>
          <w:sz w:val="20"/>
          <w:szCs w:val="20"/>
          <w:color w:val="auto"/>
        </w:rPr>
      </w:pPr>
    </w:p>
    <w:p>
      <w:pPr>
        <w:ind w:left="320" w:right="20" w:hanging="317"/>
        <w:spacing w:after="0" w:line="268" w:lineRule="auto"/>
        <w:tabs>
          <w:tab w:leader="none" w:pos="307" w:val="left"/>
        </w:tabs>
        <w:numPr>
          <w:ilvl w:val="0"/>
          <w:numId w:val="35"/>
        </w:numPr>
        <w:rPr>
          <w:rFonts w:ascii="Arial" w:cs="Arial" w:eastAsia="Arial" w:hAnsi="Arial"/>
          <w:sz w:val="18"/>
          <w:szCs w:val="18"/>
          <w:color w:val="E20074"/>
        </w:rPr>
      </w:pPr>
      <w:r>
        <w:rPr>
          <w:rFonts w:ascii="Arial" w:cs="Arial" w:eastAsia="Arial" w:hAnsi="Arial"/>
          <w:sz w:val="18"/>
          <w:szCs w:val="18"/>
          <w:color w:val="666666"/>
        </w:rPr>
        <w:t>UScellular merger-related costs, net of tax, of $98 million, or $0.09 per share, in Q3 2026 and $146 million, or $0.14 per share, including accelerated depreciation, in Q2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2426335</wp:posOffset>
            </wp:positionV>
            <wp:extent cx="7140575" cy="4711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471170"/>
                    </a:xfrm>
                    <a:prstGeom prst="rect">
                      <a:avLst/>
                    </a:prstGeom>
                    <a:noFill/>
                  </pic:spPr>
                </pic:pic>
              </a:graphicData>
            </a:graphic>
          </wp:anchor>
        </w:drawing>
      </w:r>
    </w:p>
    <w:p>
      <w:pPr>
        <w:sectPr>
          <w:pgSz w:w="11900" w:h="16838" w:orient="portrait"/>
          <w:cols w:equalWidth="0" w:num="2">
            <w:col w:w="5000" w:space="720"/>
            <w:col w:w="5120"/>
          </w:cols>
          <w:pgMar w:left="460" w:top="298" w:right="5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162935" cy="342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Core Adjusted EBITDA*</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 in millions, % of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2957195" cy="2143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*Excludes Special Items (see detail on page 22)</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32"/>
          <w:szCs w:val="32"/>
          <w:b w:val="1"/>
          <w:bCs w:val="1"/>
          <w:color w:val="E20074"/>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-316865</wp:posOffset>
            </wp:positionV>
            <wp:extent cx="7140575" cy="436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4368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Core Adjusted EBITDA increased 11% primarily due to:</w:t>
      </w:r>
    </w:p>
    <w:p>
      <w:pPr>
        <w:spacing w:after="0" w:line="63" w:lineRule="exact"/>
        <w:rPr>
          <w:sz w:val="20"/>
          <w:szCs w:val="20"/>
          <w:color w:val="auto"/>
        </w:rPr>
      </w:pPr>
    </w:p>
    <w:p>
      <w:pPr>
        <w:ind w:left="320" w:hanging="317"/>
        <w:spacing w:after="0"/>
        <w:tabs>
          <w:tab w:leader="none" w:pos="320" w:val="left"/>
        </w:tabs>
        <w:numPr>
          <w:ilvl w:val="0"/>
          <w:numId w:val="36"/>
        </w:numPr>
        <w:rPr>
          <w:rFonts w:ascii="Arial" w:cs="Arial" w:eastAsia="Arial" w:hAnsi="Arial"/>
          <w:sz w:val="18"/>
          <w:szCs w:val="18"/>
          <w:color w:val="E20074"/>
        </w:rPr>
      </w:pPr>
      <w:r>
        <w:rPr>
          <w:rFonts w:ascii="Arial" w:cs="Arial" w:eastAsia="Arial" w:hAnsi="Arial"/>
          <w:sz w:val="18"/>
          <w:szCs w:val="18"/>
          <w:color w:val="666666"/>
        </w:rPr>
        <w:t>Higher Total service revenues</w:t>
      </w:r>
    </w:p>
    <w:p>
      <w:pPr>
        <w:spacing w:after="0" w:line="63" w:lineRule="exact"/>
        <w:rPr>
          <w:rFonts w:ascii="Arial" w:cs="Arial" w:eastAsia="Arial" w:hAnsi="Arial"/>
          <w:sz w:val="18"/>
          <w:szCs w:val="18"/>
          <w:color w:val="E20074"/>
        </w:rPr>
      </w:pPr>
    </w:p>
    <w:p>
      <w:pPr>
        <w:ind w:left="320" w:hanging="317"/>
        <w:spacing w:after="0"/>
        <w:tabs>
          <w:tab w:leader="none" w:pos="320" w:val="left"/>
        </w:tabs>
        <w:numPr>
          <w:ilvl w:val="0"/>
          <w:numId w:val="36"/>
        </w:numPr>
        <w:rPr>
          <w:rFonts w:ascii="Arial" w:cs="Arial" w:eastAsia="Arial" w:hAnsi="Arial"/>
          <w:sz w:val="18"/>
          <w:szCs w:val="18"/>
          <w:color w:val="E20074"/>
        </w:rPr>
      </w:pPr>
      <w:r>
        <w:rPr>
          <w:rFonts w:ascii="Arial" w:cs="Arial" w:eastAsia="Arial" w:hAnsi="Arial"/>
          <w:sz w:val="18"/>
          <w:szCs w:val="18"/>
          <w:color w:val="666666"/>
        </w:rPr>
        <w:t>Higher Equipment revenues, excluding Lease revenues</w:t>
      </w:r>
    </w:p>
    <w:p>
      <w:pPr>
        <w:spacing w:after="0" w:line="63" w:lineRule="exact"/>
        <w:rPr>
          <w:rFonts w:ascii="Arial" w:cs="Arial" w:eastAsia="Arial" w:hAnsi="Arial"/>
          <w:sz w:val="18"/>
          <w:szCs w:val="18"/>
          <w:color w:val="E20074"/>
        </w:rPr>
      </w:pPr>
    </w:p>
    <w:p>
      <w:pPr>
        <w:ind w:left="320" w:right="40" w:hanging="317"/>
        <w:spacing w:after="0" w:line="268" w:lineRule="auto"/>
        <w:tabs>
          <w:tab w:leader="none" w:pos="307" w:val="left"/>
        </w:tabs>
        <w:numPr>
          <w:ilvl w:val="0"/>
          <w:numId w:val="36"/>
        </w:numPr>
        <w:rPr>
          <w:rFonts w:ascii="Arial" w:cs="Arial" w:eastAsia="Arial" w:hAnsi="Arial"/>
          <w:sz w:val="18"/>
          <w:szCs w:val="18"/>
          <w:color w:val="E20074"/>
        </w:rPr>
      </w:pPr>
      <w:r>
        <w:rPr>
          <w:rFonts w:ascii="Arial" w:cs="Arial" w:eastAsia="Arial" w:hAnsi="Arial"/>
          <w:sz w:val="18"/>
          <w:szCs w:val="18"/>
          <w:color w:val="666666"/>
        </w:rPr>
        <w:t>Partially offset by higher Cost of equipment sales, excluding Special Items, and higher Cost of services, excluding Special Items</w:t>
      </w:r>
    </w:p>
    <w:p>
      <w:pPr>
        <w:spacing w:after="0" w:line="340"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Core Adjusted EBITDA increased slightly, primarily due to:</w:t>
      </w:r>
    </w:p>
    <w:p>
      <w:pPr>
        <w:spacing w:after="0" w:line="63" w:lineRule="exact"/>
        <w:rPr>
          <w:sz w:val="20"/>
          <w:szCs w:val="20"/>
          <w:color w:val="auto"/>
        </w:rPr>
      </w:pPr>
    </w:p>
    <w:p>
      <w:pPr>
        <w:ind w:left="320" w:hanging="317"/>
        <w:spacing w:after="0"/>
        <w:tabs>
          <w:tab w:leader="none" w:pos="320" w:val="left"/>
        </w:tabs>
        <w:numPr>
          <w:ilvl w:val="0"/>
          <w:numId w:val="37"/>
        </w:numPr>
        <w:rPr>
          <w:rFonts w:ascii="Arial" w:cs="Arial" w:eastAsia="Arial" w:hAnsi="Arial"/>
          <w:sz w:val="18"/>
          <w:szCs w:val="18"/>
          <w:color w:val="E20074"/>
        </w:rPr>
      </w:pPr>
      <w:r>
        <w:rPr>
          <w:rFonts w:ascii="Arial" w:cs="Arial" w:eastAsia="Arial" w:hAnsi="Arial"/>
          <w:sz w:val="18"/>
          <w:szCs w:val="18"/>
          <w:color w:val="666666"/>
        </w:rPr>
        <w:t>Higher Equipment revenues, excluding Lease revenues</w:t>
      </w:r>
    </w:p>
    <w:p>
      <w:pPr>
        <w:spacing w:after="0" w:line="63" w:lineRule="exact"/>
        <w:rPr>
          <w:rFonts w:ascii="Arial" w:cs="Arial" w:eastAsia="Arial" w:hAnsi="Arial"/>
          <w:sz w:val="18"/>
          <w:szCs w:val="18"/>
          <w:color w:val="E20074"/>
        </w:rPr>
      </w:pPr>
    </w:p>
    <w:p>
      <w:pPr>
        <w:ind w:left="320" w:hanging="317"/>
        <w:spacing w:after="0"/>
        <w:tabs>
          <w:tab w:leader="none" w:pos="320" w:val="left"/>
        </w:tabs>
        <w:numPr>
          <w:ilvl w:val="0"/>
          <w:numId w:val="37"/>
        </w:numPr>
        <w:rPr>
          <w:rFonts w:ascii="Arial" w:cs="Arial" w:eastAsia="Arial" w:hAnsi="Arial"/>
          <w:sz w:val="18"/>
          <w:szCs w:val="18"/>
          <w:color w:val="E20074"/>
        </w:rPr>
      </w:pPr>
      <w:r>
        <w:rPr>
          <w:rFonts w:ascii="Arial" w:cs="Arial" w:eastAsia="Arial" w:hAnsi="Arial"/>
          <w:sz w:val="18"/>
          <w:szCs w:val="18"/>
          <w:color w:val="666666"/>
        </w:rPr>
        <w:t>Higher Total service revenues</w:t>
      </w:r>
    </w:p>
    <w:p>
      <w:pPr>
        <w:spacing w:after="0" w:line="63" w:lineRule="exact"/>
        <w:rPr>
          <w:rFonts w:ascii="Arial" w:cs="Arial" w:eastAsia="Arial" w:hAnsi="Arial"/>
          <w:sz w:val="18"/>
          <w:szCs w:val="18"/>
          <w:color w:val="E20074"/>
        </w:rPr>
      </w:pPr>
    </w:p>
    <w:p>
      <w:pPr>
        <w:ind w:left="320" w:hanging="317"/>
        <w:spacing w:after="0" w:line="268" w:lineRule="auto"/>
        <w:tabs>
          <w:tab w:leader="none" w:pos="307" w:val="left"/>
        </w:tabs>
        <w:numPr>
          <w:ilvl w:val="0"/>
          <w:numId w:val="37"/>
        </w:numPr>
        <w:rPr>
          <w:rFonts w:ascii="Arial" w:cs="Arial" w:eastAsia="Arial" w:hAnsi="Arial"/>
          <w:sz w:val="18"/>
          <w:szCs w:val="18"/>
          <w:color w:val="E20074"/>
        </w:rPr>
      </w:pPr>
      <w:r>
        <w:rPr>
          <w:rFonts w:ascii="Arial" w:cs="Arial" w:eastAsia="Arial" w:hAnsi="Arial"/>
          <w:sz w:val="18"/>
          <w:szCs w:val="18"/>
          <w:color w:val="666666"/>
        </w:rPr>
        <w:t>Mostly offset by higher Cost of equipment sales, excluding Special Items, and higher SG&amp;A expenses, excluding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300355</wp:posOffset>
            </wp:positionV>
            <wp:extent cx="713232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140" w:space="720"/>
            <w:col w:w="5220"/>
          </w:cols>
          <w:pgMar w:left="320" w:top="29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b w:val="1"/>
          <w:bCs w:val="1"/>
          <w:color w:val="666666"/>
        </w:rPr>
        <w:t>Net cash provided by operating activities decreased 2% primarily due to:</w:t>
      </w:r>
    </w:p>
    <w:p>
      <w:pPr>
        <w:spacing w:after="0" w:line="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E20074"/>
        </w:rPr>
      </w:pPr>
      <w:r>
        <w:rPr>
          <w:rFonts w:ascii="Arial" w:cs="Arial" w:eastAsia="Arial" w:hAnsi="Arial"/>
          <w:sz w:val="18"/>
          <w:szCs w:val="18"/>
          <w:color w:val="666666"/>
        </w:rPr>
        <w:t>Higher net cash outflows from changes in working capital</w:t>
      </w:r>
    </w:p>
    <w:p>
      <w:pPr>
        <w:spacing w:after="0" w:line="63" w:lineRule="exact"/>
        <w:rPr>
          <w:rFonts w:ascii="Arial" w:cs="Arial" w:eastAsia="Arial" w:hAnsi="Arial"/>
          <w:sz w:val="18"/>
          <w:szCs w:val="18"/>
          <w:color w:val="E20074"/>
        </w:rPr>
      </w:pPr>
    </w:p>
    <w:p>
      <w:pPr>
        <w:ind w:left="340" w:right="260" w:hanging="332"/>
        <w:spacing w:after="0" w:line="287" w:lineRule="auto"/>
        <w:tabs>
          <w:tab w:leader="none" w:pos="327" w:val="left"/>
        </w:tabs>
        <w:numPr>
          <w:ilvl w:val="0"/>
          <w:numId w:val="38"/>
        </w:numPr>
        <w:rPr>
          <w:rFonts w:ascii="Arial" w:cs="Arial" w:eastAsia="Arial" w:hAnsi="Arial"/>
          <w:sz w:val="18"/>
          <w:szCs w:val="18"/>
          <w:color w:val="E20074"/>
        </w:rPr>
      </w:pPr>
      <w:r>
        <w:rPr>
          <w:rFonts w:ascii="Arial" w:cs="Arial" w:eastAsia="Arial" w:hAnsi="Arial"/>
          <w:sz w:val="18"/>
          <w:szCs w:val="18"/>
          <w:color w:val="666666"/>
        </w:rPr>
        <w:t>Partially offset by higher Net income, adjusted for non-cash income and expenses</w:t>
      </w:r>
    </w:p>
    <w:p>
      <w:pPr>
        <w:spacing w:after="0" w:line="200" w:lineRule="exact"/>
        <w:rPr>
          <w:sz w:val="20"/>
          <w:szCs w:val="20"/>
          <w:color w:val="auto"/>
        </w:rPr>
      </w:pPr>
    </w:p>
    <w:p>
      <w:pPr>
        <w:spacing w:after="0" w:line="244"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b w:val="1"/>
          <w:bCs w:val="1"/>
          <w:color w:val="666666"/>
        </w:rPr>
        <w:t>Net cash provided by operating activities decreased 2% primarily due to:</w:t>
      </w:r>
    </w:p>
    <w:p>
      <w:pPr>
        <w:spacing w:after="0" w:line="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E20074"/>
        </w:rPr>
      </w:pPr>
      <w:r>
        <w:rPr>
          <w:rFonts w:ascii="Arial" w:cs="Arial" w:eastAsia="Arial" w:hAnsi="Arial"/>
          <w:sz w:val="18"/>
          <w:szCs w:val="18"/>
          <w:color w:val="666666"/>
        </w:rPr>
        <w:t>Higher net cash outflows from changes in working capital</w:t>
      </w:r>
    </w:p>
    <w:p>
      <w:pPr>
        <w:spacing w:after="0" w:line="306"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666666"/>
        </w:rPr>
        <w:t>The impact of Net payments for merger-related costs on Net cash provided by operating activities was $ 198 million in Q3 2026 compared to $181 million in Q2 2026 and $96 million in Q3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20"/>
        <w:spacing w:after="0" w:line="228" w:lineRule="auto"/>
        <w:rPr>
          <w:sz w:val="20"/>
          <w:szCs w:val="20"/>
          <w:color w:val="auto"/>
        </w:rPr>
      </w:pPr>
      <w:r>
        <w:rPr>
          <w:rFonts w:ascii="Arial" w:cs="Arial" w:eastAsia="Arial" w:hAnsi="Arial"/>
          <w:sz w:val="25"/>
          <w:szCs w:val="25"/>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-347980</wp:posOffset>
            </wp:positionV>
            <wp:extent cx="3162935" cy="505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62935" cy="5054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104775</wp:posOffset>
            </wp:positionV>
            <wp:extent cx="2957195" cy="2040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57195" cy="204025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2599690</wp:posOffset>
            </wp:positionV>
            <wp:extent cx="7140575" cy="4718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2">
            <w:col w:w="5280" w:space="720"/>
            <w:col w:w="5080"/>
          </w:cols>
          <w:pgMar w:left="320" w:top="298" w:right="4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162935" cy="5060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629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right="660"/>
        <w:spacing w:after="0" w:line="222" w:lineRule="auto"/>
        <w:rPr>
          <w:sz w:val="20"/>
          <w:szCs w:val="20"/>
          <w:color w:val="auto"/>
        </w:rPr>
      </w:pPr>
      <w:r>
        <w:rPr>
          <w:rFonts w:ascii="Arial" w:cs="Arial" w:eastAsia="Arial" w:hAnsi="Arial"/>
          <w:sz w:val="25"/>
          <w:szCs w:val="25"/>
          <w:b w:val="1"/>
          <w:bCs w:val="1"/>
          <w:color w:val="auto"/>
        </w:rPr>
        <w:t>Cash Purchases of Property and Equipment, incl. Capitalized Interest</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in millions, % of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2957195" cy="2143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32"/>
          <w:szCs w:val="32"/>
          <w:b w:val="1"/>
          <w:bCs w:val="1"/>
          <w:color w:val="E2007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-316865</wp:posOffset>
            </wp:positionV>
            <wp:extent cx="7140575" cy="436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4368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ind w:right="520"/>
        <w:spacing w:after="0" w:line="298" w:lineRule="auto"/>
        <w:rPr>
          <w:sz w:val="20"/>
          <w:szCs w:val="20"/>
          <w:color w:val="auto"/>
        </w:rPr>
      </w:pPr>
      <w:r>
        <w:rPr>
          <w:rFonts w:ascii="Arial" w:cs="Arial" w:eastAsia="Arial" w:hAnsi="Arial"/>
          <w:sz w:val="17"/>
          <w:szCs w:val="17"/>
          <w:b w:val="1"/>
          <w:bCs w:val="1"/>
          <w:color w:val="666666"/>
        </w:rPr>
        <w:t>Cash purchases of property and equipment, including capitalized interest, decreased 14% primarily due to:</w:t>
      </w:r>
    </w:p>
    <w:p>
      <w:pPr>
        <w:spacing w:after="0" w:line="1" w:lineRule="exact"/>
        <w:rPr>
          <w:sz w:val="20"/>
          <w:szCs w:val="20"/>
          <w:color w:val="auto"/>
        </w:rPr>
      </w:pPr>
    </w:p>
    <w:p>
      <w:pPr>
        <w:ind w:left="320" w:hanging="317"/>
        <w:spacing w:after="0"/>
        <w:tabs>
          <w:tab w:leader="none" w:pos="320" w:val="left"/>
        </w:tabs>
        <w:numPr>
          <w:ilvl w:val="0"/>
          <w:numId w:val="40"/>
        </w:numPr>
        <w:rPr>
          <w:rFonts w:ascii="Arial" w:cs="Arial" w:eastAsia="Arial" w:hAnsi="Arial"/>
          <w:sz w:val="18"/>
          <w:szCs w:val="18"/>
          <w:color w:val="E20074"/>
        </w:rPr>
      </w:pPr>
      <w:r>
        <w:rPr>
          <w:rFonts w:ascii="Arial" w:cs="Arial" w:eastAsia="Arial" w:hAnsi="Arial"/>
          <w:sz w:val="18"/>
          <w:szCs w:val="18"/>
          <w:color w:val="666666"/>
        </w:rPr>
        <w:t>Planned timing of capital purchases</w:t>
      </w:r>
    </w:p>
    <w:p>
      <w:pPr>
        <w:spacing w:after="0" w:line="395"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334327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44" w:lineRule="exact"/>
        <w:rPr>
          <w:sz w:val="20"/>
          <w:szCs w:val="20"/>
          <w:color w:val="auto"/>
        </w:rPr>
      </w:pPr>
    </w:p>
    <w:p>
      <w:pPr>
        <w:ind w:right="520"/>
        <w:spacing w:after="0" w:line="298" w:lineRule="auto"/>
        <w:rPr>
          <w:sz w:val="20"/>
          <w:szCs w:val="20"/>
          <w:color w:val="auto"/>
        </w:rPr>
      </w:pPr>
      <w:r>
        <w:rPr>
          <w:rFonts w:ascii="Arial" w:cs="Arial" w:eastAsia="Arial" w:hAnsi="Arial"/>
          <w:sz w:val="17"/>
          <w:szCs w:val="17"/>
          <w:b w:val="1"/>
          <w:bCs w:val="1"/>
          <w:color w:val="666666"/>
        </w:rPr>
        <w:t>Cash purchases of property and equipment, including capitalized interest, decreased 16% primarily due to:</w:t>
      </w:r>
    </w:p>
    <w:p>
      <w:pPr>
        <w:spacing w:after="0" w:line="1"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18"/>
          <w:szCs w:val="18"/>
          <w:color w:val="E20074"/>
        </w:rPr>
      </w:pPr>
      <w:r>
        <w:rPr>
          <w:rFonts w:ascii="Arial" w:cs="Arial" w:eastAsia="Arial" w:hAnsi="Arial"/>
          <w:sz w:val="18"/>
          <w:szCs w:val="18"/>
          <w:color w:val="666666"/>
        </w:rPr>
        <w:t>Planned timing of capital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1337945</wp:posOffset>
            </wp:positionV>
            <wp:extent cx="713232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140"/>
          </w:cols>
          <w:pgMar w:left="320" w:top="298"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Adjusted Free Cash Flow increased 5% primarily due to:</w:t>
      </w:r>
    </w:p>
    <w:p>
      <w:pPr>
        <w:spacing w:after="0" w:line="6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E20074"/>
        </w:rPr>
      </w:pPr>
      <w:r>
        <w:rPr>
          <w:rFonts w:ascii="Arial" w:cs="Arial" w:eastAsia="Arial" w:hAnsi="Arial"/>
          <w:sz w:val="18"/>
          <w:szCs w:val="18"/>
          <w:color w:val="666666"/>
        </w:rPr>
        <w:t>Lower Cash purchases of property and equipment</w:t>
      </w:r>
    </w:p>
    <w:p>
      <w:pPr>
        <w:spacing w:after="0" w:line="63" w:lineRule="exact"/>
        <w:rPr>
          <w:rFonts w:ascii="Arial" w:cs="Arial" w:eastAsia="Arial" w:hAnsi="Arial"/>
          <w:sz w:val="18"/>
          <w:szCs w:val="18"/>
          <w:color w:val="E20074"/>
        </w:rPr>
      </w:pPr>
    </w:p>
    <w:p>
      <w:pPr>
        <w:ind w:left="340" w:right="580" w:hanging="332"/>
        <w:spacing w:after="0" w:line="287" w:lineRule="auto"/>
        <w:tabs>
          <w:tab w:leader="none" w:pos="327" w:val="left"/>
        </w:tabs>
        <w:numPr>
          <w:ilvl w:val="0"/>
          <w:numId w:val="42"/>
        </w:numPr>
        <w:rPr>
          <w:rFonts w:ascii="Arial" w:cs="Arial" w:eastAsia="Arial" w:hAnsi="Arial"/>
          <w:sz w:val="18"/>
          <w:szCs w:val="18"/>
          <w:color w:val="E20074"/>
        </w:rPr>
      </w:pPr>
      <w:r>
        <w:rPr>
          <w:rFonts w:ascii="Arial" w:cs="Arial" w:eastAsia="Arial" w:hAnsi="Arial"/>
          <w:sz w:val="18"/>
          <w:szCs w:val="18"/>
          <w:color w:val="666666"/>
        </w:rPr>
        <w:t>Partially offset by lower Net cash provided by operating activities</w:t>
      </w:r>
    </w:p>
    <w:p>
      <w:pPr>
        <w:spacing w:after="0" w:line="323"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334327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43275" cy="2057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Adjusted Free Cash Flow increased 6% primarily due to:</w:t>
      </w:r>
    </w:p>
    <w:p>
      <w:pPr>
        <w:spacing w:after="0" w:line="63"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E20074"/>
        </w:rPr>
      </w:pPr>
      <w:r>
        <w:rPr>
          <w:rFonts w:ascii="Arial" w:cs="Arial" w:eastAsia="Arial" w:hAnsi="Arial"/>
          <w:sz w:val="18"/>
          <w:szCs w:val="18"/>
          <w:color w:val="666666"/>
        </w:rPr>
        <w:t>Lower Cash purchases of property and equipment</w:t>
      </w:r>
    </w:p>
    <w:p>
      <w:pPr>
        <w:spacing w:after="0" w:line="63" w:lineRule="exact"/>
        <w:rPr>
          <w:rFonts w:ascii="Arial" w:cs="Arial" w:eastAsia="Arial" w:hAnsi="Arial"/>
          <w:sz w:val="18"/>
          <w:szCs w:val="18"/>
          <w:color w:val="E20074"/>
        </w:rPr>
      </w:pPr>
    </w:p>
    <w:p>
      <w:pPr>
        <w:ind w:left="340" w:right="580" w:hanging="332"/>
        <w:spacing w:after="0" w:line="287" w:lineRule="auto"/>
        <w:tabs>
          <w:tab w:leader="none" w:pos="327" w:val="left"/>
        </w:tabs>
        <w:numPr>
          <w:ilvl w:val="0"/>
          <w:numId w:val="43"/>
        </w:numPr>
        <w:rPr>
          <w:rFonts w:ascii="Arial" w:cs="Arial" w:eastAsia="Arial" w:hAnsi="Arial"/>
          <w:sz w:val="18"/>
          <w:szCs w:val="18"/>
          <w:color w:val="E20074"/>
        </w:rPr>
      </w:pPr>
      <w:r>
        <w:rPr>
          <w:rFonts w:ascii="Arial" w:cs="Arial" w:eastAsia="Arial" w:hAnsi="Arial"/>
          <w:sz w:val="18"/>
          <w:szCs w:val="18"/>
          <w:color w:val="666666"/>
        </w:rPr>
        <w:t>Partially offset by lower Net cash provided by operating activities</w:t>
      </w:r>
    </w:p>
    <w:p>
      <w:pPr>
        <w:spacing w:after="0" w:line="2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666666"/>
        </w:rPr>
        <w:t>The impact of Net payments for merger-related costs on Adjusted Free Cash Flow was $198 million in Q3 2026 compared to $181 million in Q2 2026 and $96 million in Q3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-183515</wp:posOffset>
            </wp:positionV>
            <wp:extent cx="3162935"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104775</wp:posOffset>
            </wp:positionV>
            <wp:extent cx="2957195" cy="2143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2522220</wp:posOffset>
            </wp:positionV>
            <wp:extent cx="7140575" cy="4718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2">
            <w:col w:w="5280" w:space="720"/>
            <w:col w:w="5000"/>
          </w:cols>
          <w:pgMar w:left="320" w:top="298" w:right="579" w:bottom="1440" w:gutter="0" w:footer="0" w:header="0"/>
          <w:type w:val="continuous"/>
        </w:sectPr>
      </w:pPr>
    </w:p>
    <w:bookmarkStart w:id="23" w:name="page24"/>
    <w:bookmarkEnd w:id="23"/>
    <w:p>
      <w:pPr>
        <w:ind w:left="1052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12</w:t>
      </w:r>
    </w:p>
    <w:p>
      <w:pPr>
        <w:sectPr>
          <w:pgSz w:w="11900" w:h="16838" w:orient="portrait"/>
          <w:cols w:equalWidth="0" w:num="1">
            <w:col w:w="10980"/>
          </w:cols>
          <w:pgMar w:left="460" w:top="298" w:right="4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right="1620"/>
        <w:spacing w:after="0" w:line="219" w:lineRule="auto"/>
        <w:rPr>
          <w:sz w:val="20"/>
          <w:szCs w:val="20"/>
          <w:color w:val="auto"/>
        </w:rPr>
      </w:pPr>
      <w:r>
        <w:rPr>
          <w:rFonts w:ascii="Arial" w:cs="Arial" w:eastAsia="Arial" w:hAnsi="Arial"/>
          <w:sz w:val="25"/>
          <w:szCs w:val="25"/>
          <w:b w:val="1"/>
          <w:bCs w:val="1"/>
          <w:color w:val="auto"/>
        </w:rPr>
        <w:t>Total Debt (Excluding Tower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-334010</wp:posOffset>
            </wp:positionV>
            <wp:extent cx="3162935" cy="1148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62935" cy="1148715"/>
                    </a:xfrm>
                    <a:prstGeom prst="rect">
                      <a:avLst/>
                    </a:prstGeom>
                    <a:noFill/>
                  </pic:spPr>
                </pic:pic>
              </a:graphicData>
            </a:graphic>
          </wp:anchor>
        </w:drawing>
      </w:r>
    </w:p>
    <w:p>
      <w:pPr>
        <w:ind w:right="200"/>
        <w:spacing w:after="0" w:line="214" w:lineRule="auto"/>
        <w:rPr>
          <w:sz w:val="20"/>
          <w:szCs w:val="20"/>
          <w:color w:val="auto"/>
        </w:rPr>
      </w:pPr>
      <w:r>
        <w:rPr>
          <w:rFonts w:ascii="Arial" w:cs="Arial" w:eastAsia="Arial" w:hAnsi="Arial"/>
          <w:sz w:val="25"/>
          <w:szCs w:val="25"/>
          <w:b w:val="1"/>
          <w:bCs w:val="1"/>
          <w:color w:val="auto"/>
        </w:rPr>
        <w:t>Net Debt (Excluding Tower Obligations), and</w:t>
      </w:r>
    </w:p>
    <w:p>
      <w:pPr>
        <w:ind w:right="500"/>
        <w:spacing w:after="0" w:line="212" w:lineRule="auto"/>
        <w:rPr>
          <w:sz w:val="20"/>
          <w:szCs w:val="20"/>
          <w:color w:val="auto"/>
        </w:rPr>
      </w:pPr>
      <w:r>
        <w:rPr>
          <w:rFonts w:ascii="Arial" w:cs="Arial" w:eastAsia="Arial" w:hAnsi="Arial"/>
          <w:sz w:val="25"/>
          <w:szCs w:val="25"/>
          <w:b w:val="1"/>
          <w:bCs w:val="1"/>
          <w:color w:val="auto"/>
        </w:rPr>
        <w:t>Net Debt to LTM Net Income and Core Adj. EBITDA Ratios</w:t>
      </w:r>
    </w:p>
    <w:p>
      <w:pPr>
        <w:spacing w:after="0"/>
        <w:rPr>
          <w:sz w:val="20"/>
          <w:szCs w:val="20"/>
          <w:color w:val="auto"/>
        </w:rPr>
      </w:pPr>
      <w:r>
        <w:rPr>
          <w:rFonts w:ascii="Arial" w:cs="Arial" w:eastAsia="Arial" w:hAnsi="Arial"/>
          <w:sz w:val="20"/>
          <w:szCs w:val="20"/>
          <w:b w:val="1"/>
          <w:bCs w:val="1"/>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79375</wp:posOffset>
            </wp:positionV>
            <wp:extent cx="2948940" cy="257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48940" cy="257175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3234055</wp:posOffset>
            </wp:positionV>
            <wp:extent cx="3162935" cy="342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629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Returns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104775</wp:posOffset>
            </wp:positionV>
            <wp:extent cx="2957195" cy="2143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57195"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666666"/>
        </w:rPr>
        <w:t>Total debt, excluding tower obligations, at the end of Q3 2026 was $86.0 billion.</w:t>
      </w:r>
    </w:p>
    <w:p>
      <w:pPr>
        <w:spacing w:after="0" w:line="1" w:lineRule="exact"/>
        <w:rPr>
          <w:sz w:val="20"/>
          <w:szCs w:val="20"/>
          <w:color w:val="auto"/>
        </w:rPr>
      </w:pPr>
    </w:p>
    <w:p>
      <w:pPr>
        <w:ind w:right="140"/>
        <w:spacing w:after="0" w:line="296" w:lineRule="auto"/>
        <w:rPr>
          <w:sz w:val="20"/>
          <w:szCs w:val="20"/>
          <w:color w:val="auto"/>
        </w:rPr>
      </w:pPr>
      <w:r>
        <w:rPr>
          <w:rFonts w:ascii="Arial" w:cs="Arial" w:eastAsia="Arial" w:hAnsi="Arial"/>
          <w:sz w:val="18"/>
          <w:szCs w:val="18"/>
          <w:b w:val="1"/>
          <w:bCs w:val="1"/>
          <w:color w:val="666666"/>
        </w:rPr>
        <w:t>Net debt, excluding tower obligations, at the end of Q3 2026 was $80.3 billion.</w:t>
      </w:r>
    </w:p>
    <w:p>
      <w:pPr>
        <w:spacing w:after="0" w:line="272" w:lineRule="exact"/>
        <w:rPr>
          <w:sz w:val="20"/>
          <w:szCs w:val="20"/>
          <w:color w:val="auto"/>
        </w:rPr>
      </w:pPr>
    </w:p>
    <w:p>
      <w:pPr>
        <w:ind w:left="320" w:right="200" w:hanging="317"/>
        <w:spacing w:after="0" w:line="259" w:lineRule="auto"/>
        <w:tabs>
          <w:tab w:leader="none" w:pos="307" w:val="left"/>
        </w:tabs>
        <w:numPr>
          <w:ilvl w:val="0"/>
          <w:numId w:val="44"/>
        </w:numPr>
        <w:rPr>
          <w:rFonts w:ascii="Arial" w:cs="Arial" w:eastAsia="Arial" w:hAnsi="Arial"/>
          <w:sz w:val="18"/>
          <w:szCs w:val="18"/>
          <w:color w:val="E20074"/>
        </w:rPr>
      </w:pPr>
      <w:r>
        <w:rPr>
          <w:rFonts w:ascii="Arial" w:cs="Arial" w:eastAsia="Arial" w:hAnsi="Arial"/>
          <w:sz w:val="18"/>
          <w:szCs w:val="18"/>
          <w:color w:val="6D6D6D"/>
        </w:rPr>
        <w:t>On December 11, 2025, the company announced that its Board of Directors (the “Board”) authorized a stockholder return program for up to $14.6 billion that will run through December 31, 2026, consisting of additional repurchases of shares and payment of cash dividends.</w:t>
      </w:r>
    </w:p>
    <w:p>
      <w:pPr>
        <w:spacing w:after="0" w:line="17" w:lineRule="exact"/>
        <w:rPr>
          <w:rFonts w:ascii="Arial" w:cs="Arial" w:eastAsia="Arial" w:hAnsi="Arial"/>
          <w:sz w:val="18"/>
          <w:szCs w:val="18"/>
          <w:color w:val="E20074"/>
        </w:rPr>
      </w:pPr>
    </w:p>
    <w:p>
      <w:pPr>
        <w:ind w:left="980" w:right="100" w:hanging="329"/>
        <w:spacing w:after="0" w:line="259" w:lineRule="auto"/>
        <w:tabs>
          <w:tab w:leader="none" w:pos="967" w:val="left"/>
        </w:tabs>
        <w:numPr>
          <w:ilvl w:val="1"/>
          <w:numId w:val="44"/>
        </w:numPr>
        <w:rPr>
          <w:rFonts w:ascii="Arial" w:cs="Arial" w:eastAsia="Arial" w:hAnsi="Arial"/>
          <w:sz w:val="18"/>
          <w:szCs w:val="18"/>
          <w:color w:val="E20074"/>
        </w:rPr>
      </w:pPr>
      <w:r>
        <w:rPr>
          <w:rFonts w:ascii="Arial" w:cs="Arial" w:eastAsia="Arial" w:hAnsi="Arial"/>
          <w:sz w:val="18"/>
          <w:szCs w:val="18"/>
          <w:color w:val="6D6D6D"/>
        </w:rPr>
        <w:t>On April 23, 2026, the company announced that the Board increased the company’s 2026 stockholder return authorization to up to $18.2 billion, representing an increase of up to $3.6 billion from its prior 2026 authorization.</w:t>
      </w:r>
    </w:p>
    <w:p>
      <w:pPr>
        <w:spacing w:after="0" w:line="17" w:lineRule="exact"/>
        <w:rPr>
          <w:rFonts w:ascii="Arial" w:cs="Arial" w:eastAsia="Arial" w:hAnsi="Arial"/>
          <w:sz w:val="18"/>
          <w:szCs w:val="18"/>
          <w:color w:val="E20074"/>
        </w:rPr>
      </w:pPr>
    </w:p>
    <w:p>
      <w:pPr>
        <w:ind w:left="980" w:right="20" w:hanging="329"/>
        <w:spacing w:after="0" w:line="259" w:lineRule="auto"/>
        <w:tabs>
          <w:tab w:leader="none" w:pos="967" w:val="left"/>
        </w:tabs>
        <w:numPr>
          <w:ilvl w:val="1"/>
          <w:numId w:val="44"/>
        </w:numPr>
        <w:rPr>
          <w:rFonts w:ascii="Arial" w:cs="Arial" w:eastAsia="Arial" w:hAnsi="Arial"/>
          <w:sz w:val="18"/>
          <w:szCs w:val="18"/>
          <w:color w:val="E20074"/>
        </w:rPr>
      </w:pPr>
      <w:r>
        <w:rPr>
          <w:rFonts w:ascii="Arial" w:cs="Arial" w:eastAsia="Arial" w:hAnsi="Arial"/>
          <w:sz w:val="18"/>
          <w:szCs w:val="18"/>
          <w:color w:val="6D6D6D"/>
        </w:rPr>
        <w:t>During Q3 2026, the Board declared a cash dividend of $1.17 per share, an increase of $0.15 per share, or 15%. The dividend will be paid on December 10, 2026, to stockholders of record as of the close of business on November 25, 2026.</w:t>
      </w:r>
    </w:p>
    <w:p>
      <w:pPr>
        <w:spacing w:after="0" w:line="17" w:lineRule="exact"/>
        <w:rPr>
          <w:rFonts w:ascii="Arial" w:cs="Arial" w:eastAsia="Arial" w:hAnsi="Arial"/>
          <w:sz w:val="18"/>
          <w:szCs w:val="18"/>
          <w:color w:val="E20074"/>
        </w:rPr>
      </w:pPr>
    </w:p>
    <w:p>
      <w:pPr>
        <w:ind w:left="320" w:right="40" w:hanging="317"/>
        <w:spacing w:after="0" w:line="259" w:lineRule="auto"/>
        <w:tabs>
          <w:tab w:leader="none" w:pos="307" w:val="left"/>
        </w:tabs>
        <w:numPr>
          <w:ilvl w:val="0"/>
          <w:numId w:val="44"/>
        </w:numPr>
        <w:rPr>
          <w:rFonts w:ascii="Arial" w:cs="Arial" w:eastAsia="Arial" w:hAnsi="Arial"/>
          <w:sz w:val="18"/>
          <w:szCs w:val="18"/>
          <w:color w:val="E20074"/>
        </w:rPr>
      </w:pPr>
      <w:r>
        <w:rPr>
          <w:rFonts w:ascii="Arial" w:cs="Arial" w:eastAsia="Arial" w:hAnsi="Arial"/>
          <w:sz w:val="18"/>
          <w:szCs w:val="18"/>
          <w:color w:val="6D6D6D"/>
        </w:rPr>
        <w:t>On a cumulative basis, since the company initiated its stockholder return program in Q3 2022, a total of $58.1 billion has been returned to stockholders as of September 30, 2026, with 264.4 million shares repurchased for $46.7 billion, and cumulative cash dividends of $11.5 billion.</w:t>
      </w:r>
    </w:p>
    <w:p>
      <w:pPr>
        <w:spacing w:after="0" w:line="17" w:lineRule="exact"/>
        <w:rPr>
          <w:rFonts w:ascii="Arial" w:cs="Arial" w:eastAsia="Arial" w:hAnsi="Arial"/>
          <w:sz w:val="18"/>
          <w:szCs w:val="18"/>
          <w:color w:val="E20074"/>
        </w:rPr>
      </w:pPr>
    </w:p>
    <w:p>
      <w:pPr>
        <w:ind w:left="980" w:right="980" w:hanging="329"/>
        <w:spacing w:after="0" w:line="281" w:lineRule="auto"/>
        <w:tabs>
          <w:tab w:leader="none" w:pos="967" w:val="left"/>
        </w:tabs>
        <w:numPr>
          <w:ilvl w:val="1"/>
          <w:numId w:val="44"/>
        </w:numPr>
        <w:rPr>
          <w:rFonts w:ascii="Arial" w:cs="Arial" w:eastAsia="Arial" w:hAnsi="Arial"/>
          <w:sz w:val="18"/>
          <w:szCs w:val="18"/>
          <w:b w:val="1"/>
          <w:bCs w:val="1"/>
          <w:color w:val="E20074"/>
        </w:rPr>
      </w:pPr>
      <w:r>
        <w:rPr>
          <w:rFonts w:ascii="Arial" w:cs="Arial" w:eastAsia="Arial" w:hAnsi="Arial"/>
          <w:sz w:val="18"/>
          <w:szCs w:val="18"/>
          <w:color w:val="6D6D6D"/>
        </w:rPr>
        <w:t>During Q3 2026, 13.6 million shares were repurchased for $2.4 billion.</w:t>
      </w:r>
    </w:p>
    <w:p>
      <w:pPr>
        <w:spacing w:after="0" w:line="1" w:lineRule="exact"/>
        <w:rPr>
          <w:rFonts w:ascii="Arial" w:cs="Arial" w:eastAsia="Arial" w:hAnsi="Arial"/>
          <w:sz w:val="18"/>
          <w:szCs w:val="18"/>
          <w:b w:val="1"/>
          <w:bCs w:val="1"/>
          <w:color w:val="E20074"/>
        </w:rPr>
      </w:pPr>
    </w:p>
    <w:p>
      <w:pPr>
        <w:ind w:left="980" w:hanging="329"/>
        <w:spacing w:after="0" w:line="268" w:lineRule="auto"/>
        <w:tabs>
          <w:tab w:leader="none" w:pos="967" w:val="left"/>
        </w:tabs>
        <w:numPr>
          <w:ilvl w:val="1"/>
          <w:numId w:val="44"/>
        </w:numPr>
        <w:rPr>
          <w:rFonts w:ascii="Arial" w:cs="Arial" w:eastAsia="Arial" w:hAnsi="Arial"/>
          <w:sz w:val="18"/>
          <w:szCs w:val="18"/>
          <w:b w:val="1"/>
          <w:bCs w:val="1"/>
          <w:color w:val="E20074"/>
        </w:rPr>
      </w:pPr>
      <w:r>
        <w:rPr>
          <w:rFonts w:ascii="Arial" w:cs="Arial" w:eastAsia="Arial" w:hAnsi="Arial"/>
          <w:sz w:val="18"/>
          <w:szCs w:val="18"/>
          <w:color w:val="6D6D6D"/>
        </w:rPr>
        <w:t>During Q3 2026, the company paid a cash dividend of $1.02 per share of common stock, or $1.1 billion, on September 10, 2026.</w:t>
      </w:r>
    </w:p>
    <w:p>
      <w:pPr>
        <w:spacing w:after="0" w:line="8" w:lineRule="exact"/>
        <w:rPr>
          <w:rFonts w:ascii="Arial" w:cs="Arial" w:eastAsia="Arial" w:hAnsi="Arial"/>
          <w:sz w:val="18"/>
          <w:szCs w:val="18"/>
          <w:b w:val="1"/>
          <w:bCs w:val="1"/>
          <w:color w:val="E20074"/>
        </w:rPr>
      </w:pPr>
    </w:p>
    <w:p>
      <w:pPr>
        <w:ind w:left="320" w:right="140" w:hanging="317"/>
        <w:spacing w:after="0" w:line="262" w:lineRule="auto"/>
        <w:tabs>
          <w:tab w:leader="none" w:pos="307" w:val="left"/>
        </w:tabs>
        <w:numPr>
          <w:ilvl w:val="0"/>
          <w:numId w:val="44"/>
        </w:numPr>
        <w:rPr>
          <w:rFonts w:ascii="Arial" w:cs="Arial" w:eastAsia="Arial" w:hAnsi="Arial"/>
          <w:sz w:val="18"/>
          <w:szCs w:val="18"/>
          <w:color w:val="E20074"/>
        </w:rPr>
      </w:pPr>
      <w:r>
        <w:rPr>
          <w:rFonts w:ascii="Arial" w:cs="Arial" w:eastAsia="Arial" w:hAnsi="Arial"/>
          <w:sz w:val="18"/>
          <w:szCs w:val="18"/>
          <w:color w:val="6D6D6D"/>
        </w:rPr>
        <w:t xml:space="preserve">In Q4 2026, through October 23, 2026, the company repurchased an additional </w:t>
      </w:r>
      <w:r>
        <w:rPr>
          <w:rFonts w:ascii="Arial" w:cs="Arial" w:eastAsia="Arial" w:hAnsi="Arial"/>
          <w:sz w:val="18"/>
          <w:szCs w:val="18"/>
          <w:color w:val="666666"/>
        </w:rPr>
        <w:t>$791 million</w:t>
      </w:r>
      <w:r>
        <w:rPr>
          <w:rFonts w:ascii="Arial" w:cs="Arial" w:eastAsia="Arial" w:hAnsi="Arial"/>
          <w:sz w:val="18"/>
          <w:szCs w:val="18"/>
          <w:color w:val="6D6D6D"/>
        </w:rPr>
        <w:t xml:space="preserve"> in common stock, totaling $3.2 billion in stock repurchased since the beginning of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2266950</wp:posOffset>
            </wp:positionV>
            <wp:extent cx="7140575" cy="4711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471170"/>
                    </a:xfrm>
                    <a:prstGeom prst="rect">
                      <a:avLst/>
                    </a:prstGeom>
                    <a:noFill/>
                  </pic:spPr>
                </pic:pic>
              </a:graphicData>
            </a:graphic>
          </wp:anchor>
        </w:drawing>
      </w:r>
    </w:p>
    <w:p>
      <w:pPr>
        <w:sectPr>
          <w:pgSz w:w="11900" w:h="16838" w:orient="portrait"/>
          <w:cols w:equalWidth="0" w:num="2">
            <w:col w:w="5000" w:space="720"/>
            <w:col w:w="5260"/>
          </w:cols>
          <w:pgMar w:left="460" w:top="298" w:right="459" w:bottom="1440" w:gutter="0" w:footer="0" w:header="0"/>
          <w:type w:val="continuous"/>
        </w:sectPr>
      </w:pPr>
    </w:p>
    <w:bookmarkStart w:id="24" w:name="page25"/>
    <w:bookmarkEnd w:id="24"/>
    <w:p>
      <w:pPr>
        <w:ind w:left="1066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86"/>
          <w:szCs w:val="86"/>
          <w:b w:val="1"/>
          <w:bCs w:val="1"/>
          <w:color w:val="auto"/>
        </w:rPr>
        <w:t>2026 Outlook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shd w:val="clear" w:color="auto" w:fill="000000"/>
          </w:tcPr>
          <w:p>
            <w:pPr>
              <w:ind w:left="20"/>
              <w:spacing w:after="0"/>
              <w:rPr>
                <w:sz w:val="20"/>
                <w:szCs w:val="20"/>
                <w:color w:val="auto"/>
              </w:rPr>
            </w:pPr>
            <w:r>
              <w:rPr>
                <w:rFonts w:ascii="Arial" w:cs="Arial" w:eastAsia="Arial" w:hAnsi="Arial"/>
                <w:sz w:val="18"/>
                <w:szCs w:val="18"/>
                <w:b w:val="1"/>
                <w:bCs w:val="1"/>
                <w:color w:val="FFFFFF"/>
              </w:rPr>
              <w:t>Metric</w:t>
            </w:r>
          </w:p>
        </w:tc>
        <w:tc>
          <w:tcPr>
            <w:tcW w:w="2560" w:type="dxa"/>
            <w:vAlign w:val="bottom"/>
            <w:shd w:val="clear" w:color="auto" w:fill="000000"/>
          </w:tcPr>
          <w:p>
            <w:pPr>
              <w:jc w:val="center"/>
              <w:ind w:left="190"/>
              <w:spacing w:after="0"/>
              <w:rPr>
                <w:sz w:val="20"/>
                <w:szCs w:val="20"/>
                <w:color w:val="auto"/>
              </w:rPr>
            </w:pPr>
            <w:r>
              <w:rPr>
                <w:rFonts w:ascii="Arial" w:cs="Arial" w:eastAsia="Arial" w:hAnsi="Arial"/>
                <w:sz w:val="18"/>
                <w:szCs w:val="18"/>
                <w:b w:val="1"/>
                <w:bCs w:val="1"/>
                <w:color w:val="FFFFFF"/>
                <w:w w:val="99"/>
              </w:rPr>
              <w:t>Previous</w:t>
            </w:r>
          </w:p>
        </w:tc>
        <w:tc>
          <w:tcPr>
            <w:tcW w:w="232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8"/>
              </w:rPr>
              <w:t>Revised</w:t>
            </w:r>
          </w:p>
        </w:tc>
        <w:tc>
          <w:tcPr>
            <w:tcW w:w="228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rPr>
              <w:t>Change at Midpoint</w:t>
            </w:r>
          </w:p>
        </w:tc>
        <w:tc>
          <w:tcPr>
            <w:tcW w:w="0" w:type="dxa"/>
            <w:vAlign w:val="bottom"/>
          </w:tcPr>
          <w:p>
            <w:pPr>
              <w:spacing w:after="0"/>
              <w:rPr>
                <w:sz w:val="1"/>
                <w:szCs w:val="1"/>
                <w:color w:val="auto"/>
              </w:rPr>
            </w:pPr>
          </w:p>
        </w:tc>
      </w:tr>
      <w:tr>
        <w:trPr>
          <w:trHeight w:val="197"/>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Postpaid net account additions</w:t>
            </w:r>
          </w:p>
        </w:tc>
        <w:tc>
          <w:tcPr>
            <w:tcW w:w="2560" w:type="dxa"/>
            <w:vAlign w:val="bottom"/>
          </w:tcPr>
          <w:p>
            <w:pPr>
              <w:jc w:val="center"/>
              <w:ind w:left="170"/>
              <w:spacing w:after="0" w:line="197" w:lineRule="exact"/>
              <w:rPr>
                <w:sz w:val="20"/>
                <w:szCs w:val="20"/>
                <w:color w:val="auto"/>
              </w:rPr>
            </w:pPr>
            <w:r>
              <w:rPr>
                <w:rFonts w:ascii="Arial" w:cs="Arial" w:eastAsia="Arial" w:hAnsi="Arial"/>
                <w:sz w:val="18"/>
                <w:szCs w:val="18"/>
                <w:b w:val="1"/>
                <w:bCs w:val="1"/>
                <w:color w:val="auto"/>
                <w:w w:val="99"/>
              </w:rPr>
              <w:t>950 thousand to 1.05</w:t>
            </w:r>
          </w:p>
        </w:tc>
        <w:tc>
          <w:tcPr>
            <w:tcW w:w="2320" w:type="dxa"/>
            <w:vAlign w:val="bottom"/>
            <w:vMerge w:val="restart"/>
            <w:shd w:val="clear" w:color="auto" w:fill="E20074"/>
          </w:tcPr>
          <w:p>
            <w:pPr>
              <w:jc w:val="center"/>
              <w:spacing w:after="0"/>
              <w:rPr>
                <w:sz w:val="20"/>
                <w:szCs w:val="20"/>
                <w:color w:val="auto"/>
              </w:rPr>
            </w:pPr>
            <w:r>
              <w:rPr>
                <w:rFonts w:ascii="Arial" w:cs="Arial" w:eastAsia="Arial" w:hAnsi="Arial"/>
                <w:sz w:val="18"/>
                <w:szCs w:val="18"/>
                <w:b w:val="1"/>
                <w:bCs w:val="1"/>
                <w:color w:val="FFFFFF"/>
              </w:rPr>
              <w:t>~1.0 million</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 change</w:t>
            </w:r>
          </w:p>
        </w:tc>
        <w:tc>
          <w:tcPr>
            <w:tcW w:w="0" w:type="dxa"/>
            <w:vAlign w:val="bottom"/>
          </w:tcPr>
          <w:p>
            <w:pPr>
              <w:spacing w:after="0"/>
              <w:rPr>
                <w:sz w:val="1"/>
                <w:szCs w:val="1"/>
                <w:color w:val="auto"/>
              </w:rPr>
            </w:pPr>
          </w:p>
        </w:tc>
      </w:tr>
      <w:tr>
        <w:trPr>
          <w:trHeight w:val="152"/>
        </w:trPr>
        <w:tc>
          <w:tcPr>
            <w:tcW w:w="4080" w:type="dxa"/>
            <w:vAlign w:val="bottom"/>
            <w:vMerge w:val="continue"/>
          </w:tcPr>
          <w:p>
            <w:pPr>
              <w:spacing w:after="0"/>
              <w:rPr>
                <w:sz w:val="13"/>
                <w:szCs w:val="13"/>
                <w:color w:val="auto"/>
              </w:rPr>
            </w:pPr>
          </w:p>
        </w:tc>
        <w:tc>
          <w:tcPr>
            <w:tcW w:w="256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9"/>
              </w:rPr>
              <w:t>million</w:t>
            </w:r>
          </w:p>
        </w:tc>
        <w:tc>
          <w:tcPr>
            <w:tcW w:w="2320" w:type="dxa"/>
            <w:vAlign w:val="bottom"/>
            <w:vMerge w:val="continue"/>
            <w:shd w:val="clear" w:color="auto" w:fill="E20074"/>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80" w:type="dxa"/>
            <w:vAlign w:val="bottom"/>
            <w:tcBorders>
              <w:bottom w:val="single" w:sz="8" w:color="B6B6B6"/>
            </w:tcBorders>
          </w:tcPr>
          <w:p>
            <w:pPr>
              <w:spacing w:after="0"/>
              <w:rPr>
                <w:sz w:val="7"/>
                <w:szCs w:val="7"/>
                <w:color w:val="auto"/>
              </w:rPr>
            </w:pPr>
          </w:p>
        </w:tc>
        <w:tc>
          <w:tcPr>
            <w:tcW w:w="2560" w:type="dxa"/>
            <w:vAlign w:val="bottom"/>
            <w:tcBorders>
              <w:bottom w:val="single" w:sz="8" w:color="B6B6B6"/>
            </w:tcBorders>
            <w:vMerge w:val="continue"/>
          </w:tcPr>
          <w:p>
            <w:pPr>
              <w:spacing w:after="0"/>
              <w:rPr>
                <w:sz w:val="7"/>
                <w:szCs w:val="7"/>
                <w:color w:val="auto"/>
              </w:rPr>
            </w:pPr>
          </w:p>
        </w:tc>
        <w:tc>
          <w:tcPr>
            <w:tcW w:w="2320" w:type="dxa"/>
            <w:vAlign w:val="bottom"/>
            <w:tcBorders>
              <w:bottom w:val="single" w:sz="8" w:color="B6B6B6"/>
            </w:tcBorders>
            <w:shd w:val="clear" w:color="auto" w:fill="E20074"/>
          </w:tcPr>
          <w:p>
            <w:pPr>
              <w:spacing w:after="0"/>
              <w:rPr>
                <w:sz w:val="7"/>
                <w:szCs w:val="7"/>
                <w:color w:val="auto"/>
              </w:rPr>
            </w:pPr>
          </w:p>
        </w:tc>
        <w:tc>
          <w:tcPr>
            <w:tcW w:w="2280" w:type="dxa"/>
            <w:vAlign w:val="bottom"/>
            <w:tcBorders>
              <w:bottom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B6B6B6"/>
            </w:tcBorders>
          </w:tcPr>
          <w:p>
            <w:pPr>
              <w:ind w:left="20"/>
              <w:spacing w:after="0" w:line="236" w:lineRule="exact"/>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23"/>
                <w:szCs w:val="23"/>
                <w:b w:val="1"/>
                <w:bCs w:val="1"/>
                <w:color w:val="auto"/>
                <w:vertAlign w:val="superscript"/>
              </w:rPr>
              <w:t>(1)</w:t>
            </w:r>
          </w:p>
        </w:tc>
        <w:tc>
          <w:tcPr>
            <w:tcW w:w="2560" w:type="dxa"/>
            <w:vAlign w:val="bottom"/>
            <w:tcBorders>
              <w:bottom w:val="single" w:sz="8" w:color="B6B6B6"/>
            </w:tcBorders>
          </w:tcPr>
          <w:p>
            <w:pPr>
              <w:jc w:val="center"/>
              <w:ind w:left="190"/>
              <w:spacing w:after="0"/>
              <w:rPr>
                <w:sz w:val="20"/>
                <w:szCs w:val="20"/>
                <w:color w:val="auto"/>
              </w:rPr>
            </w:pPr>
            <w:r>
              <w:rPr>
                <w:rFonts w:ascii="Arial" w:cs="Arial" w:eastAsia="Arial" w:hAnsi="Arial"/>
                <w:sz w:val="18"/>
                <w:szCs w:val="18"/>
                <w:b w:val="1"/>
                <w:bCs w:val="1"/>
                <w:color w:val="auto"/>
              </w:rPr>
              <w:t>N/A</w:t>
            </w:r>
          </w:p>
        </w:tc>
        <w:tc>
          <w:tcPr>
            <w:tcW w:w="2320" w:type="dxa"/>
            <w:vAlign w:val="bottom"/>
            <w:tcBorders>
              <w:bottom w:val="single" w:sz="8" w:color="B6B6B6"/>
            </w:tcBorders>
            <w:shd w:val="clear" w:color="auto" w:fill="E20074"/>
          </w:tcPr>
          <w:p>
            <w:pPr>
              <w:jc w:val="center"/>
              <w:spacing w:after="0"/>
              <w:rPr>
                <w:sz w:val="20"/>
                <w:szCs w:val="20"/>
                <w:color w:val="auto"/>
              </w:rPr>
            </w:pPr>
            <w:r>
              <w:rPr>
                <w:rFonts w:ascii="Arial" w:cs="Arial" w:eastAsia="Arial" w:hAnsi="Arial"/>
                <w:sz w:val="18"/>
                <w:szCs w:val="18"/>
                <w:b w:val="1"/>
                <w:bCs w:val="1"/>
                <w:color w:val="FFFFFF"/>
              </w:rPr>
              <w:t>N/A</w:t>
            </w:r>
          </w:p>
        </w:tc>
        <w:tc>
          <w:tcPr>
            <w:tcW w:w="2280" w:type="dxa"/>
            <w:vAlign w:val="bottom"/>
            <w:tcBorders>
              <w:bottom w:val="single" w:sz="8" w:color="B6B6B6"/>
            </w:tcBorders>
          </w:tcPr>
          <w:p>
            <w:pPr>
              <w:jc w:val="center"/>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B6B6B6"/>
            </w:tcBorders>
          </w:tcPr>
          <w:p>
            <w:pPr>
              <w:ind w:left="20"/>
              <w:spacing w:after="0"/>
              <w:rPr>
                <w:sz w:val="20"/>
                <w:szCs w:val="20"/>
                <w:color w:val="auto"/>
              </w:rPr>
            </w:pPr>
            <w:r>
              <w:rPr>
                <w:rFonts w:ascii="Arial" w:cs="Arial" w:eastAsia="Arial" w:hAnsi="Arial"/>
                <w:sz w:val="18"/>
                <w:szCs w:val="18"/>
                <w:b w:val="1"/>
                <w:bCs w:val="1"/>
                <w:color w:val="auto"/>
              </w:rPr>
              <w:t>Effective tax rate</w:t>
            </w:r>
          </w:p>
        </w:tc>
        <w:tc>
          <w:tcPr>
            <w:tcW w:w="2560" w:type="dxa"/>
            <w:vAlign w:val="bottom"/>
            <w:tcBorders>
              <w:bottom w:val="single" w:sz="8" w:color="B6B6B6"/>
            </w:tcBorders>
          </w:tcPr>
          <w:p>
            <w:pPr>
              <w:jc w:val="center"/>
              <w:ind w:left="190"/>
              <w:spacing w:after="0"/>
              <w:rPr>
                <w:sz w:val="20"/>
                <w:szCs w:val="20"/>
                <w:color w:val="auto"/>
              </w:rPr>
            </w:pPr>
            <w:r>
              <w:rPr>
                <w:rFonts w:ascii="Arial" w:cs="Arial" w:eastAsia="Arial" w:hAnsi="Arial"/>
                <w:sz w:val="18"/>
                <w:szCs w:val="18"/>
                <w:b w:val="1"/>
                <w:bCs w:val="1"/>
                <w:color w:val="auto"/>
              </w:rPr>
              <w:t>25% to 26%</w:t>
            </w:r>
          </w:p>
        </w:tc>
        <w:tc>
          <w:tcPr>
            <w:tcW w:w="2320" w:type="dxa"/>
            <w:vAlign w:val="bottom"/>
            <w:tcBorders>
              <w:bottom w:val="single" w:sz="8" w:color="B6B6B6"/>
            </w:tcBorders>
            <w:shd w:val="clear" w:color="auto" w:fill="E20074"/>
          </w:tcPr>
          <w:p>
            <w:pPr>
              <w:jc w:val="center"/>
              <w:spacing w:after="0"/>
              <w:rPr>
                <w:sz w:val="20"/>
                <w:szCs w:val="20"/>
                <w:color w:val="auto"/>
              </w:rPr>
            </w:pPr>
            <w:r>
              <w:rPr>
                <w:rFonts w:ascii="Arial" w:cs="Arial" w:eastAsia="Arial" w:hAnsi="Arial"/>
                <w:sz w:val="18"/>
                <w:szCs w:val="18"/>
                <w:b w:val="1"/>
                <w:bCs w:val="1"/>
                <w:color w:val="FFFFFF"/>
              </w:rPr>
              <w:t>24% to 25%</w:t>
            </w:r>
          </w:p>
        </w:tc>
        <w:tc>
          <w:tcPr>
            <w:tcW w:w="2280" w:type="dxa"/>
            <w:vAlign w:val="bottom"/>
            <w:tcBorders>
              <w:bottom w:val="single" w:sz="8" w:color="B6B6B6"/>
            </w:tcBorders>
          </w:tcPr>
          <w:p>
            <w:pPr>
              <w:jc w:val="center"/>
              <w:spacing w:after="0"/>
              <w:rPr>
                <w:sz w:val="20"/>
                <w:szCs w:val="20"/>
                <w:color w:val="auto"/>
              </w:rPr>
            </w:pPr>
            <w:r>
              <w:rPr>
                <w:rFonts w:ascii="Arial" w:cs="Arial" w:eastAsia="Arial" w:hAnsi="Arial"/>
                <w:sz w:val="18"/>
                <w:szCs w:val="18"/>
                <w:b w:val="1"/>
                <w:bCs w:val="1"/>
                <w:color w:val="auto"/>
              </w:rPr>
              <w:t>(100) bps</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B6B6B6"/>
            </w:tcBorders>
          </w:tcPr>
          <w:p>
            <w:pPr>
              <w:ind w:left="20"/>
              <w:spacing w:after="0" w:line="236" w:lineRule="exact"/>
              <w:rPr>
                <w:sz w:val="20"/>
                <w:szCs w:val="20"/>
                <w:color w:val="auto"/>
              </w:rPr>
            </w:pPr>
            <w:r>
              <w:rPr>
                <w:rFonts w:ascii="Arial" w:cs="Arial" w:eastAsia="Arial" w:hAnsi="Arial"/>
                <w:sz w:val="18"/>
                <w:szCs w:val="18"/>
                <w:b w:val="1"/>
                <w:bCs w:val="1"/>
                <w:color w:val="auto"/>
              </w:rPr>
              <w:t xml:space="preserve">Core Adjusted EBITDA </w:t>
            </w:r>
            <w:r>
              <w:rPr>
                <w:rFonts w:ascii="Arial" w:cs="Arial" w:eastAsia="Arial" w:hAnsi="Arial"/>
                <w:sz w:val="23"/>
                <w:szCs w:val="23"/>
                <w:b w:val="1"/>
                <w:bCs w:val="1"/>
                <w:color w:val="auto"/>
                <w:vertAlign w:val="superscript"/>
              </w:rPr>
              <w:t>(2)</w:t>
            </w:r>
          </w:p>
        </w:tc>
        <w:tc>
          <w:tcPr>
            <w:tcW w:w="2560" w:type="dxa"/>
            <w:vAlign w:val="bottom"/>
            <w:tcBorders>
              <w:bottom w:val="single" w:sz="8" w:color="B6B6B6"/>
            </w:tcBorders>
          </w:tcPr>
          <w:p>
            <w:pPr>
              <w:jc w:val="center"/>
              <w:ind w:left="190"/>
              <w:spacing w:after="0"/>
              <w:rPr>
                <w:sz w:val="20"/>
                <w:szCs w:val="20"/>
                <w:color w:val="auto"/>
              </w:rPr>
            </w:pPr>
            <w:r>
              <w:rPr>
                <w:rFonts w:ascii="Arial" w:cs="Arial" w:eastAsia="Arial" w:hAnsi="Arial"/>
                <w:sz w:val="18"/>
                <w:szCs w:val="18"/>
                <w:b w:val="1"/>
                <w:bCs w:val="1"/>
                <w:color w:val="auto"/>
              </w:rPr>
              <w:t>$37.1 to $37.5 billion</w:t>
            </w:r>
          </w:p>
        </w:tc>
        <w:tc>
          <w:tcPr>
            <w:tcW w:w="2320" w:type="dxa"/>
            <w:vAlign w:val="bottom"/>
            <w:tcBorders>
              <w:bottom w:val="single" w:sz="8" w:color="B6B6B6"/>
            </w:tcBorders>
            <w:shd w:val="clear" w:color="auto" w:fill="E20074"/>
          </w:tcPr>
          <w:p>
            <w:pPr>
              <w:jc w:val="center"/>
              <w:spacing w:after="0"/>
              <w:rPr>
                <w:sz w:val="20"/>
                <w:szCs w:val="20"/>
                <w:color w:val="auto"/>
              </w:rPr>
            </w:pPr>
            <w:r>
              <w:rPr>
                <w:rFonts w:ascii="Arial" w:cs="Arial" w:eastAsia="Arial" w:hAnsi="Arial"/>
                <w:sz w:val="18"/>
                <w:szCs w:val="18"/>
                <w:b w:val="1"/>
                <w:bCs w:val="1"/>
                <w:color w:val="FFFFFF"/>
              </w:rPr>
              <w:t>$37.35 to $37.45 billion</w:t>
            </w:r>
          </w:p>
        </w:tc>
        <w:tc>
          <w:tcPr>
            <w:tcW w:w="2280" w:type="dxa"/>
            <w:vAlign w:val="bottom"/>
            <w:tcBorders>
              <w:bottom w:val="single" w:sz="8" w:color="B6B6B6"/>
            </w:tcBorders>
          </w:tcPr>
          <w:p>
            <w:pPr>
              <w:jc w:val="center"/>
              <w:spacing w:after="0"/>
              <w:rPr>
                <w:sz w:val="20"/>
                <w:szCs w:val="20"/>
                <w:color w:val="auto"/>
              </w:rPr>
            </w:pPr>
            <w:r>
              <w:rPr>
                <w:rFonts w:ascii="Arial" w:cs="Arial" w:eastAsia="Arial" w:hAnsi="Arial"/>
                <w:sz w:val="18"/>
                <w:szCs w:val="18"/>
                <w:b w:val="1"/>
                <w:bCs w:val="1"/>
                <w:color w:val="auto"/>
              </w:rPr>
              <w:t>$100 million</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B6B6B6"/>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560" w:type="dxa"/>
            <w:vAlign w:val="bottom"/>
            <w:tcBorders>
              <w:bottom w:val="single" w:sz="8" w:color="B6B6B6"/>
            </w:tcBorders>
          </w:tcPr>
          <w:p>
            <w:pPr>
              <w:jc w:val="center"/>
              <w:ind w:left="190"/>
              <w:spacing w:after="0"/>
              <w:rPr>
                <w:sz w:val="20"/>
                <w:szCs w:val="20"/>
                <w:color w:val="auto"/>
              </w:rPr>
            </w:pPr>
            <w:r>
              <w:rPr>
                <w:rFonts w:ascii="Arial" w:cs="Arial" w:eastAsia="Arial" w:hAnsi="Arial"/>
                <w:sz w:val="18"/>
                <w:szCs w:val="18"/>
                <w:b w:val="1"/>
                <w:bCs w:val="1"/>
                <w:color w:val="auto"/>
              </w:rPr>
              <w:t>$28.4 to $28.8 billion</w:t>
            </w:r>
          </w:p>
        </w:tc>
        <w:tc>
          <w:tcPr>
            <w:tcW w:w="2320" w:type="dxa"/>
            <w:vAlign w:val="bottom"/>
            <w:tcBorders>
              <w:bottom w:val="single" w:sz="8" w:color="B6B6B6"/>
            </w:tcBorders>
            <w:shd w:val="clear" w:color="auto" w:fill="E20074"/>
          </w:tcPr>
          <w:p>
            <w:pPr>
              <w:jc w:val="center"/>
              <w:spacing w:after="0"/>
              <w:rPr>
                <w:sz w:val="20"/>
                <w:szCs w:val="20"/>
                <w:color w:val="auto"/>
              </w:rPr>
            </w:pPr>
            <w:r>
              <w:rPr>
                <w:rFonts w:ascii="Arial" w:cs="Arial" w:eastAsia="Arial" w:hAnsi="Arial"/>
                <w:sz w:val="18"/>
                <w:szCs w:val="18"/>
                <w:b w:val="1"/>
                <w:bCs w:val="1"/>
                <w:color w:val="FFFFFF"/>
              </w:rPr>
              <w:t>$28.7 to $28.8 billion</w:t>
            </w:r>
          </w:p>
        </w:tc>
        <w:tc>
          <w:tcPr>
            <w:tcW w:w="2280" w:type="dxa"/>
            <w:vAlign w:val="bottom"/>
            <w:tcBorders>
              <w:bottom w:val="single" w:sz="8" w:color="B6B6B6"/>
            </w:tcBorders>
          </w:tcPr>
          <w:p>
            <w:pPr>
              <w:jc w:val="center"/>
              <w:spacing w:after="0"/>
              <w:rPr>
                <w:sz w:val="20"/>
                <w:szCs w:val="20"/>
                <w:color w:val="auto"/>
              </w:rPr>
            </w:pPr>
            <w:r>
              <w:rPr>
                <w:rFonts w:ascii="Arial" w:cs="Arial" w:eastAsia="Arial" w:hAnsi="Arial"/>
                <w:sz w:val="18"/>
                <w:szCs w:val="18"/>
                <w:b w:val="1"/>
                <w:bCs w:val="1"/>
                <w:color w:val="auto"/>
              </w:rPr>
              <w:t>$150 million</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B6B6B6"/>
            </w:tcBorders>
          </w:tcPr>
          <w:p>
            <w:pPr>
              <w:ind w:left="20"/>
              <w:spacing w:after="0" w:line="236" w:lineRule="exact"/>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23"/>
                <w:szCs w:val="23"/>
                <w:b w:val="1"/>
                <w:bCs w:val="1"/>
                <w:color w:val="auto"/>
                <w:vertAlign w:val="superscript"/>
              </w:rPr>
              <w:t>(3)</w:t>
            </w:r>
          </w:p>
        </w:tc>
        <w:tc>
          <w:tcPr>
            <w:tcW w:w="2560" w:type="dxa"/>
            <w:vAlign w:val="bottom"/>
            <w:tcBorders>
              <w:bottom w:val="single" w:sz="8" w:color="B6B6B6"/>
            </w:tcBorders>
          </w:tcPr>
          <w:p>
            <w:pPr>
              <w:jc w:val="center"/>
              <w:ind w:left="170"/>
              <w:spacing w:after="0"/>
              <w:rPr>
                <w:sz w:val="20"/>
                <w:szCs w:val="20"/>
                <w:color w:val="auto"/>
              </w:rPr>
            </w:pPr>
            <w:r>
              <w:rPr>
                <w:rFonts w:ascii="Arial" w:cs="Arial" w:eastAsia="Arial" w:hAnsi="Arial"/>
                <w:sz w:val="18"/>
                <w:szCs w:val="18"/>
                <w:b w:val="1"/>
                <w:bCs w:val="1"/>
                <w:color w:val="auto"/>
              </w:rPr>
              <w:t>~$10.0 billion</w:t>
            </w:r>
          </w:p>
        </w:tc>
        <w:tc>
          <w:tcPr>
            <w:tcW w:w="2320" w:type="dxa"/>
            <w:vAlign w:val="bottom"/>
            <w:tcBorders>
              <w:bottom w:val="single" w:sz="8" w:color="B6B6B6"/>
            </w:tcBorders>
            <w:shd w:val="clear" w:color="auto" w:fill="E20074"/>
          </w:tcPr>
          <w:p>
            <w:pPr>
              <w:jc w:val="center"/>
              <w:spacing w:after="0"/>
              <w:rPr>
                <w:sz w:val="20"/>
                <w:szCs w:val="20"/>
                <w:color w:val="auto"/>
              </w:rPr>
            </w:pPr>
            <w:r>
              <w:rPr>
                <w:rFonts w:ascii="Arial" w:cs="Arial" w:eastAsia="Arial" w:hAnsi="Arial"/>
                <w:sz w:val="18"/>
                <w:szCs w:val="18"/>
                <w:b w:val="1"/>
                <w:bCs w:val="1"/>
                <w:color w:val="FFFFFF"/>
                <w:w w:val="98"/>
              </w:rPr>
              <w:t>~$10.0 billion</w:t>
            </w:r>
          </w:p>
        </w:tc>
        <w:tc>
          <w:tcPr>
            <w:tcW w:w="2280" w:type="dxa"/>
            <w:vAlign w:val="bottom"/>
            <w:tcBorders>
              <w:bottom w:val="single" w:sz="8" w:color="B6B6B6"/>
            </w:tcBorders>
          </w:tcPr>
          <w:p>
            <w:pPr>
              <w:jc w:val="center"/>
              <w:spacing w:after="0"/>
              <w:rPr>
                <w:sz w:val="20"/>
                <w:szCs w:val="20"/>
                <w:color w:val="auto"/>
              </w:rPr>
            </w:pPr>
            <w:r>
              <w:rPr>
                <w:rFonts w:ascii="Arial" w:cs="Arial" w:eastAsia="Arial" w:hAnsi="Arial"/>
                <w:sz w:val="18"/>
                <w:szCs w:val="18"/>
                <w:b w:val="1"/>
                <w:bCs w:val="1"/>
                <w:color w:val="auto"/>
                <w:w w:val="99"/>
              </w:rPr>
              <w:t>No change</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560" w:type="dxa"/>
            <w:vAlign w:val="bottom"/>
          </w:tcPr>
          <w:p>
            <w:pPr>
              <w:jc w:val="center"/>
              <w:ind w:left="190"/>
              <w:spacing w:after="0"/>
              <w:rPr>
                <w:sz w:val="20"/>
                <w:szCs w:val="20"/>
                <w:color w:val="auto"/>
              </w:rPr>
            </w:pPr>
            <w:r>
              <w:rPr>
                <w:rFonts w:ascii="Arial" w:cs="Arial" w:eastAsia="Arial" w:hAnsi="Arial"/>
                <w:sz w:val="18"/>
                <w:szCs w:val="18"/>
                <w:b w:val="1"/>
                <w:bCs w:val="1"/>
                <w:color w:val="auto"/>
              </w:rPr>
              <w:t>$18.4 to $18.8 billion</w:t>
            </w:r>
          </w:p>
        </w:tc>
        <w:tc>
          <w:tcPr>
            <w:tcW w:w="2320" w:type="dxa"/>
            <w:vAlign w:val="bottom"/>
            <w:shd w:val="clear" w:color="auto" w:fill="E20074"/>
          </w:tcPr>
          <w:p>
            <w:pPr>
              <w:jc w:val="center"/>
              <w:spacing w:after="0"/>
              <w:rPr>
                <w:sz w:val="20"/>
                <w:szCs w:val="20"/>
                <w:color w:val="auto"/>
              </w:rPr>
            </w:pPr>
            <w:r>
              <w:rPr>
                <w:rFonts w:ascii="Arial" w:cs="Arial" w:eastAsia="Arial" w:hAnsi="Arial"/>
                <w:sz w:val="18"/>
                <w:szCs w:val="18"/>
                <w:b w:val="1"/>
                <w:bCs w:val="1"/>
                <w:color w:val="FFFFFF"/>
              </w:rPr>
              <w:t>$18.7 to $18.8 billion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$150 million</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right="60" w:hanging="332"/>
        <w:spacing w:after="0" w:line="268" w:lineRule="auto"/>
        <w:tabs>
          <w:tab w:leader="none" w:pos="327"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We are not able to forecast Net income on a forward-looking basis without unreasonable efforts due to the high variability and difficulty in predicting certain items that affect GAAP Net income, including, but not limited to, Special Items, Income tax expense and Interest expense. Core Adjusted EBITDA should not be used to predict Net income as the difference between this measure and Net income is variable.</w:t>
      </w:r>
    </w:p>
    <w:p>
      <w:pPr>
        <w:spacing w:after="0" w:line="1" w:lineRule="exact"/>
        <w:rPr>
          <w:rFonts w:ascii="Arial" w:cs="Arial" w:eastAsia="Arial" w:hAnsi="Arial"/>
          <w:sz w:val="14"/>
          <w:szCs w:val="14"/>
          <w:color w:val="666666"/>
        </w:rPr>
      </w:pPr>
    </w:p>
    <w:p>
      <w:pPr>
        <w:ind w:left="340" w:right="240" w:hanging="332"/>
        <w:spacing w:after="0" w:line="251" w:lineRule="auto"/>
        <w:tabs>
          <w:tab w:leader="none" w:pos="327"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Management uses Core Adjusted EBITDA as a measure to monitor the financial performance of our operations, excluding the impact of lease revenues from our related device financing programs.</w:t>
      </w:r>
    </w:p>
    <w:p>
      <w:pPr>
        <w:ind w:left="320" w:hanging="312"/>
        <w:spacing w:after="0"/>
        <w:tabs>
          <w:tab w:leader="none" w:pos="320"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Capital expenditures means cash purchases of property and equipment, including capitalized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40575" cy="4718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445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0575" cy="445770"/>
                    </a:xfrm>
                    <a:prstGeom prst="rect">
                      <a:avLst/>
                    </a:prstGeom>
                    <a:noFill/>
                  </pic:spPr>
                </pic:pic>
              </a:graphicData>
            </a:graphic>
          </wp:anchor>
        </w:drawing>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20"/>
        <w:spacing w:after="0"/>
        <w:rPr>
          <w:sz w:val="20"/>
          <w:szCs w:val="20"/>
          <w:color w:val="auto"/>
        </w:rPr>
      </w:pPr>
      <w:r>
        <w:rPr>
          <w:rFonts w:ascii="Arial" w:cs="Arial" w:eastAsia="Arial" w:hAnsi="Arial"/>
          <w:sz w:val="72"/>
          <w:szCs w:val="72"/>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234950</wp:posOffset>
            </wp:positionV>
            <wp:extent cx="4389120" cy="1234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89120" cy="1234440"/>
                    </a:xfrm>
                    <a:prstGeom prst="rect">
                      <a:avLst/>
                    </a:prstGeom>
                    <a:noFill/>
                  </pic:spPr>
                </pic:pic>
              </a:graphicData>
            </a:graphic>
          </wp:anchor>
        </w:drawing>
      </w:r>
    </w:p>
    <w:p>
      <w:pPr>
        <w:sectPr>
          <w:pgSz w:w="11900" w:h="16838" w:orient="portrait"/>
          <w:cols w:equalWidth="0" w:num="1">
            <w:col w:w="9940"/>
          </w:cols>
          <w:pgMar w:left="1400" w:top="298"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20"/>
        <w:spacing w:after="0"/>
        <w:rPr>
          <w:sz w:val="20"/>
          <w:szCs w:val="20"/>
          <w:color w:val="auto"/>
        </w:rPr>
      </w:pPr>
      <w:r>
        <w:rPr>
          <w:rFonts w:ascii="Arial" w:cs="Arial" w:eastAsia="Arial" w:hAnsi="Arial"/>
          <w:sz w:val="21"/>
          <w:szCs w:val="21"/>
          <w:b w:val="1"/>
          <w:bCs w:val="1"/>
          <w:color w:val="auto"/>
        </w:rPr>
        <w:t>Cathy Yao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Matthew Hale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Jon Lanterman</w:t>
      </w:r>
    </w:p>
    <w:p>
      <w:pPr>
        <w:spacing w:after="0" w:line="56" w:lineRule="exact"/>
        <w:rPr>
          <w:sz w:val="20"/>
          <w:szCs w:val="20"/>
          <w:color w:val="auto"/>
        </w:rPr>
      </w:pPr>
    </w:p>
    <w:p>
      <w:pPr>
        <w:sectPr>
          <w:pgSz w:w="11900" w:h="16838" w:orient="portrait"/>
          <w:cols w:equalWidth="0" w:num="3">
            <w:col w:w="3120" w:space="720"/>
            <w:col w:w="1680" w:space="720"/>
            <w:col w:w="3700"/>
          </w:cols>
          <w:pgMar w:left="1400" w:top="298" w:right="559" w:bottom="1440" w:gutter="0" w:footer="0" w:header="0"/>
          <w:type w:val="continuous"/>
        </w:sectPr>
      </w:pPr>
    </w:p>
    <w:p>
      <w:pPr>
        <w:ind w:left="118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581025</wp:posOffset>
            </wp:positionV>
            <wp:extent cx="2811780" cy="12344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11780" cy="123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588010</wp:posOffset>
            </wp:positionV>
            <wp:extent cx="1234440" cy="1234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588010</wp:posOffset>
            </wp:positionV>
            <wp:extent cx="1234440" cy="1234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220" w:space="720"/>
            <w:col w:w="1760" w:space="720"/>
            <w:col w:w="3520"/>
          </w:cols>
          <w:pgMar w:left="1400" w:top="298"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Buffum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Chris 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Danna Tao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Aner Hezroni</w:t>
      </w:r>
    </w:p>
    <w:p>
      <w:pPr>
        <w:spacing w:after="0" w:line="56" w:lineRule="exact"/>
        <w:rPr>
          <w:sz w:val="20"/>
          <w:szCs w:val="20"/>
          <w:color w:val="auto"/>
        </w:rPr>
      </w:pPr>
    </w:p>
    <w:p>
      <w:pPr>
        <w:sectPr>
          <w:pgSz w:w="11900" w:h="16838" w:orient="portrait"/>
          <w:cols w:equalWidth="0" w:num="4">
            <w:col w:w="2120" w:space="720"/>
            <w:col w:w="1660" w:space="720"/>
            <w:col w:w="1640" w:space="720"/>
            <w:col w:w="2360"/>
          </w:cols>
          <w:pgMar w:left="1400" w:top="298" w:right="55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Senior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Analyst</w:t>
      </w:r>
    </w:p>
    <w:p>
      <w:pPr>
        <w:spacing w:after="0" w:line="211" w:lineRule="exact"/>
        <w:rPr>
          <w:sz w:val="20"/>
          <w:szCs w:val="20"/>
          <w:color w:val="auto"/>
        </w:rPr>
      </w:pPr>
    </w:p>
    <w:p>
      <w:pPr>
        <w:sectPr>
          <w:pgSz w:w="11900" w:h="16838" w:orient="portrait"/>
          <w:cols w:equalWidth="0" w:num="4">
            <w:col w:w="2200" w:space="720"/>
            <w:col w:w="1780" w:space="720"/>
            <w:col w:w="1520" w:space="720"/>
            <w:col w:w="2280"/>
          </w:cols>
          <w:pgMar w:left="1400" w:top="298"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E20074"/>
        </w:rPr>
        <w:t>investor.relations@t-mobile.com</w:t>
      </w:r>
    </w:p>
    <w:p>
      <w:pPr>
        <w:spacing w:after="0" w:line="3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E20074"/>
        </w:rPr>
        <w:t>https://investor.t-mobile.com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-1905</wp:posOffset>
            </wp:positionV>
            <wp:extent cx="7140575" cy="4718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9940"/>
          </w:cols>
          <w:pgMar w:left="1400" w:top="298" w:right="5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566"/>
        </w:trPr>
        <w:tc>
          <w:tcPr>
            <w:tcW w:w="8000" w:type="dxa"/>
            <w:vAlign w:val="bottom"/>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3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340" w:type="dxa"/>
            <w:vAlign w:val="bottom"/>
            <w:shd w:val="clear" w:color="auto" w:fill="000000"/>
          </w:tcPr>
          <w:p>
            <w:pPr>
              <w:jc w:val="right"/>
              <w:ind w:right="166"/>
              <w:spacing w:after="0"/>
              <w:rPr>
                <w:sz w:val="20"/>
                <w:szCs w:val="20"/>
                <w:color w:val="auto"/>
              </w:rPr>
            </w:pPr>
            <w:r>
              <w:rPr>
                <w:rFonts w:ascii="Arial" w:cs="Arial" w:eastAsia="Arial" w:hAnsi="Arial"/>
                <w:sz w:val="32"/>
                <w:szCs w:val="32"/>
                <w:b w:val="1"/>
                <w:bCs w:val="1"/>
                <w:color w:val="E20074"/>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000" w:type="dxa"/>
            <w:vAlign w:val="bottom"/>
            <w:shd w:val="clear" w:color="auto" w:fill="000000"/>
          </w:tcPr>
          <w:p>
            <w:pPr>
              <w:spacing w:after="0"/>
              <w:rPr>
                <w:sz w:val="9"/>
                <w:szCs w:val="9"/>
                <w:color w:val="auto"/>
              </w:rPr>
            </w:pPr>
          </w:p>
        </w:tc>
        <w:tc>
          <w:tcPr>
            <w:tcW w:w="220" w:type="dxa"/>
            <w:vAlign w:val="bottom"/>
            <w:shd w:val="clear" w:color="auto" w:fill="000000"/>
          </w:tcPr>
          <w:p>
            <w:pPr>
              <w:spacing w:after="0"/>
              <w:rPr>
                <w:sz w:val="9"/>
                <w:szCs w:val="9"/>
                <w:color w:val="auto"/>
              </w:rPr>
            </w:pPr>
          </w:p>
        </w:tc>
        <w:tc>
          <w:tcPr>
            <w:tcW w:w="134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220" w:type="dxa"/>
            <w:vAlign w:val="bottom"/>
            <w:shd w:val="clear" w:color="auto" w:fill="000000"/>
          </w:tcPr>
          <w:p>
            <w:pPr>
              <w:spacing w:after="0"/>
              <w:rPr>
                <w:sz w:val="9"/>
                <w:szCs w:val="9"/>
                <w:color w:val="auto"/>
              </w:rPr>
            </w:pPr>
          </w:p>
        </w:tc>
        <w:tc>
          <w:tcPr>
            <w:tcW w:w="1340" w:type="dxa"/>
            <w:vAlign w:val="bottom"/>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8000" w:type="dxa"/>
            <w:vAlign w:val="bottom"/>
          </w:tcPr>
          <w:p>
            <w:pPr>
              <w:jc w:val="center"/>
              <w:ind w:left="3167"/>
              <w:spacing w:after="0"/>
              <w:rPr>
                <w:sz w:val="20"/>
                <w:szCs w:val="20"/>
                <w:color w:val="auto"/>
              </w:rPr>
            </w:pPr>
            <w:r>
              <w:rPr>
                <w:rFonts w:ascii="Arial" w:cs="Arial" w:eastAsia="Arial" w:hAnsi="Arial"/>
                <w:sz w:val="18"/>
                <w:szCs w:val="18"/>
                <w:b w:val="1"/>
                <w:bCs w:val="1"/>
                <w:color w:val="666666"/>
                <w:w w:val="99"/>
              </w:rPr>
              <w:t>T-Mobile US, Inc.</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67"/>
              <w:spacing w:after="0"/>
              <w:rPr>
                <w:sz w:val="20"/>
                <w:szCs w:val="20"/>
                <w:color w:val="auto"/>
              </w:rPr>
            </w:pPr>
            <w:r>
              <w:rPr>
                <w:rFonts w:ascii="Arial" w:cs="Arial" w:eastAsia="Arial" w:hAnsi="Arial"/>
                <w:sz w:val="18"/>
                <w:szCs w:val="18"/>
                <w:b w:val="1"/>
                <w:bCs w:val="1"/>
                <w:color w:val="666666"/>
              </w:rPr>
              <w:t>Condensed Consolidated Balance Sheets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00" w:type="dxa"/>
            <w:vAlign w:val="bottom"/>
          </w:tcPr>
          <w:p>
            <w:pPr>
              <w:jc w:val="center"/>
              <w:ind w:left="3167"/>
              <w:spacing w:after="0"/>
              <w:rPr>
                <w:sz w:val="20"/>
                <w:szCs w:val="20"/>
                <w:color w:val="auto"/>
              </w:rPr>
            </w:pPr>
            <w:r>
              <w:rPr>
                <w:rFonts w:ascii="Arial" w:cs="Arial" w:eastAsia="Arial" w:hAnsi="Arial"/>
                <w:sz w:val="18"/>
                <w:szCs w:val="18"/>
                <w:b w:val="1"/>
                <w:bCs w:val="1"/>
                <w:color w:val="666666"/>
                <w:w w:val="99"/>
              </w:rPr>
              <w:t>(Unaudited)</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 except share and per share amounts)</w:t>
            </w:r>
          </w:p>
        </w:tc>
        <w:tc>
          <w:tcPr>
            <w:tcW w:w="220" w:type="dxa"/>
            <w:vAlign w:val="bottom"/>
            <w:shd w:val="clear" w:color="auto" w:fill="E20074"/>
          </w:tcPr>
          <w:p>
            <w:pPr>
              <w:spacing w:after="0"/>
              <w:rPr>
                <w:sz w:val="14"/>
                <w:szCs w:val="14"/>
                <w:color w:val="auto"/>
              </w:rPr>
            </w:pPr>
          </w:p>
        </w:tc>
        <w:tc>
          <w:tcPr>
            <w:tcW w:w="1340" w:type="dxa"/>
            <w:vAlign w:val="bottom"/>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4"/>
                <w:szCs w:val="14"/>
                <w:color w:val="auto"/>
              </w:rPr>
            </w:pPr>
          </w:p>
        </w:tc>
        <w:tc>
          <w:tcPr>
            <w:tcW w:w="220" w:type="dxa"/>
            <w:vAlign w:val="bottom"/>
            <w:shd w:val="clear" w:color="auto" w:fill="E20074"/>
          </w:tcPr>
          <w:p>
            <w:pPr>
              <w:spacing w:after="0"/>
              <w:rPr>
                <w:sz w:val="14"/>
                <w:szCs w:val="14"/>
                <w:color w:val="auto"/>
              </w:rPr>
            </w:pPr>
          </w:p>
        </w:tc>
        <w:tc>
          <w:tcPr>
            <w:tcW w:w="1340" w:type="dxa"/>
            <w:vAlign w:val="bottom"/>
            <w:shd w:val="clear" w:color="auto" w:fill="E20074"/>
          </w:tcPr>
          <w:p>
            <w:pPr>
              <w:jc w:val="right"/>
              <w:ind w:right="286"/>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00" w:type="dxa"/>
            <w:vAlign w:val="bottom"/>
            <w:vMerge w:val="continue"/>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340" w:type="dxa"/>
            <w:vAlign w:val="bottom"/>
            <w:shd w:val="clear" w:color="auto" w:fill="E20074"/>
          </w:tcPr>
          <w:p>
            <w:pPr>
              <w:jc w:val="right"/>
              <w:ind w:right="5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340" w:type="dxa"/>
            <w:vAlign w:val="bottom"/>
            <w:shd w:val="clear" w:color="auto" w:fill="E20074"/>
          </w:tcPr>
          <w:p>
            <w:pPr>
              <w:jc w:val="right"/>
              <w:ind w:right="566"/>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Assets</w:t>
            </w: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Current assets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Cash and cash equivalents</w:t>
            </w:r>
          </w:p>
        </w:tc>
        <w:tc>
          <w:tcPr>
            <w:tcW w:w="22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666666"/>
                <w:w w:val="85"/>
              </w:rPr>
              <w:t>$</w:t>
            </w: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5,620</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666666"/>
              </w:rPr>
              <w:t>$</w:t>
            </w: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Accounts receivable, net of allowance for credit losses of $251 and $226</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5,012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4,874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Equipment installment plan receivables, net of allowance for credit losses and unamortized discount of $723 and $733</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4,530</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Inventory</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3,085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Prepaid expenses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909</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Other current assets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5,372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DDDDDD"/>
            </w:tcBorders>
            <w:shd w:val="clear" w:color="auto" w:fill="DDDDDD"/>
          </w:tcPr>
          <w:p>
            <w:pPr>
              <w:ind w:left="560"/>
              <w:spacing w:after="0"/>
              <w:rPr>
                <w:sz w:val="20"/>
                <w:szCs w:val="20"/>
                <w:color w:val="auto"/>
              </w:rPr>
            </w:pPr>
            <w:r>
              <w:rPr>
                <w:rFonts w:ascii="Times New Roman" w:cs="Times New Roman" w:eastAsia="Times New Roman" w:hAnsi="Times New Roman"/>
                <w:sz w:val="14"/>
                <w:szCs w:val="14"/>
                <w:color w:val="666666"/>
              </w:rPr>
              <w:t>Total current assets</w:t>
            </w: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21,842</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Property and equipment, net</w:t>
            </w:r>
          </w:p>
        </w:tc>
        <w:tc>
          <w:tcPr>
            <w:tcW w:w="220" w:type="dxa"/>
            <w:vAlign w:val="bottom"/>
            <w:tcBorders>
              <w:top w:val="single" w:sz="8" w:color="929292"/>
            </w:tcBorders>
          </w:tcPr>
          <w:p>
            <w:pPr>
              <w:spacing w:after="0"/>
              <w:rPr>
                <w:sz w:val="16"/>
                <w:szCs w:val="16"/>
                <w:color w:val="auto"/>
              </w:rPr>
            </w:pPr>
          </w:p>
        </w:tc>
        <w:tc>
          <w:tcPr>
            <w:tcW w:w="13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36,035</w:t>
            </w:r>
          </w:p>
        </w:tc>
        <w:tc>
          <w:tcPr>
            <w:tcW w:w="120" w:type="dxa"/>
            <w:vAlign w:val="bottom"/>
          </w:tcPr>
          <w:p>
            <w:pPr>
              <w:spacing w:after="0"/>
              <w:rPr>
                <w:sz w:val="16"/>
                <w:szCs w:val="16"/>
                <w:color w:val="auto"/>
              </w:rPr>
            </w:pPr>
          </w:p>
        </w:tc>
        <w:tc>
          <w:tcPr>
            <w:tcW w:w="220" w:type="dxa"/>
            <w:vAlign w:val="bottom"/>
            <w:tcBorders>
              <w:top w:val="single" w:sz="8" w:color="929292"/>
            </w:tcBorders>
          </w:tcPr>
          <w:p>
            <w:pPr>
              <w:spacing w:after="0"/>
              <w:rPr>
                <w:sz w:val="16"/>
                <w:szCs w:val="16"/>
                <w:color w:val="auto"/>
              </w:rPr>
            </w:pPr>
          </w:p>
        </w:tc>
        <w:tc>
          <w:tcPr>
            <w:tcW w:w="13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38,333</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Operating lease right-of-use assets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24,208</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25,692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Financing lease right-of-use assets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2,987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2,760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Goodwill</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13,665</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13,678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Spectrum licenses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99,980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98,032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Other intangible assets, net</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3,066</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3,843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Equipment installment plan receivables due after one year, net of allowance for credit losses and unamortized discount of $199 and $213</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Other assets</w:t>
            </w: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8,864</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tcBorders>
              <w:bottom w:val="single" w:sz="8" w:color="DDDDDD"/>
            </w:tcBorders>
          </w:tcPr>
          <w:p>
            <w:pPr>
              <w:ind w:left="560"/>
              <w:spacing w:after="0"/>
              <w:rPr>
                <w:sz w:val="20"/>
                <w:szCs w:val="20"/>
                <w:color w:val="auto"/>
              </w:rPr>
            </w:pPr>
            <w:r>
              <w:rPr>
                <w:rFonts w:ascii="Times New Roman" w:cs="Times New Roman" w:eastAsia="Times New Roman" w:hAnsi="Times New Roman"/>
                <w:sz w:val="14"/>
                <w:szCs w:val="14"/>
                <w:color w:val="666666"/>
              </w:rPr>
              <w:t>Total assets</w:t>
            </w:r>
          </w:p>
        </w:tc>
        <w:tc>
          <w:tcPr>
            <w:tcW w:w="220" w:type="dxa"/>
            <w:vAlign w:val="bottom"/>
            <w:tcBorders>
              <w:top w:val="single" w:sz="8" w:color="929292"/>
              <w:bottom w:val="single" w:sz="8" w:color="929292"/>
            </w:tcBorders>
          </w:tcPr>
          <w:p>
            <w:pPr>
              <w:jc w:val="right"/>
              <w:ind w:right="68"/>
              <w:spacing w:after="0"/>
              <w:rPr>
                <w:sz w:val="20"/>
                <w:szCs w:val="20"/>
                <w:color w:val="auto"/>
              </w:rPr>
            </w:pPr>
            <w:r>
              <w:rPr>
                <w:rFonts w:ascii="Times New Roman" w:cs="Times New Roman" w:eastAsia="Times New Roman" w:hAnsi="Times New Roman"/>
                <w:sz w:val="14"/>
                <w:szCs w:val="14"/>
                <w:color w:val="666666"/>
                <w:w w:val="85"/>
              </w:rPr>
              <w:t>$</w:t>
            </w:r>
          </w:p>
        </w:tc>
        <w:tc>
          <w:tcPr>
            <w:tcW w:w="13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213,104</w:t>
            </w:r>
          </w:p>
        </w:tc>
        <w:tc>
          <w:tcPr>
            <w:tcW w:w="120" w:type="dxa"/>
            <w:vAlign w:val="bottom"/>
            <w:tcBorders>
              <w:bottom w:val="single" w:sz="8" w:color="DDDDDD"/>
            </w:tcBorders>
          </w:tcPr>
          <w:p>
            <w:pPr>
              <w:spacing w:after="0"/>
              <w:rPr>
                <w:sz w:val="18"/>
                <w:szCs w:val="18"/>
                <w:color w:val="auto"/>
              </w:rPr>
            </w:pPr>
          </w:p>
        </w:tc>
        <w:tc>
          <w:tcPr>
            <w:tcW w:w="220" w:type="dxa"/>
            <w:vAlign w:val="bottom"/>
            <w:tcBorders>
              <w:top w:val="single" w:sz="8" w:color="929292"/>
              <w:bottom w:val="single" w:sz="8" w:color="929292"/>
            </w:tcBorders>
          </w:tcPr>
          <w:p>
            <w:pPr>
              <w:jc w:val="right"/>
              <w:ind w:right="68"/>
              <w:spacing w:after="0"/>
              <w:rPr>
                <w:sz w:val="20"/>
                <w:szCs w:val="20"/>
                <w:color w:val="auto"/>
              </w:rPr>
            </w:pPr>
            <w:r>
              <w:rPr>
                <w:rFonts w:ascii="Times New Roman" w:cs="Times New Roman" w:eastAsia="Times New Roman" w:hAnsi="Times New Roman"/>
                <w:sz w:val="14"/>
                <w:szCs w:val="14"/>
                <w:color w:val="666666"/>
                <w:w w:val="85"/>
              </w:rPr>
              <w:t>$</w:t>
            </w:r>
          </w:p>
        </w:tc>
        <w:tc>
          <w:tcPr>
            <w:tcW w:w="13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219,237</w:t>
            </w:r>
          </w:p>
        </w:tc>
        <w:tc>
          <w:tcPr>
            <w:tcW w:w="20" w:type="dxa"/>
            <w:vAlign w:val="bottom"/>
            <w:tcBorders>
              <w:top w:val="single" w:sz="8" w:color="929292"/>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Liabilities and Stockholders' Equity</w:t>
            </w:r>
          </w:p>
        </w:tc>
        <w:tc>
          <w:tcPr>
            <w:tcW w:w="220" w:type="dxa"/>
            <w:vAlign w:val="bottom"/>
            <w:tcBorders>
              <w:bottom w:val="single" w:sz="8" w:color="DDDDDD"/>
            </w:tcBorders>
            <w:shd w:val="clear" w:color="auto" w:fill="DDDDDD"/>
          </w:tcPr>
          <w:p>
            <w:pPr>
              <w:spacing w:after="0"/>
              <w:rPr>
                <w:sz w:val="15"/>
                <w:szCs w:val="15"/>
                <w:color w:val="auto"/>
              </w:rPr>
            </w:pPr>
          </w:p>
        </w:tc>
        <w:tc>
          <w:tcPr>
            <w:tcW w:w="134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1340" w:type="dxa"/>
            <w:vAlign w:val="bottom"/>
            <w:tcBorders>
              <w:bottom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Current liabilities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Accounts payable and accrued liabilities</w:t>
            </w:r>
          </w:p>
        </w:tc>
        <w:tc>
          <w:tcPr>
            <w:tcW w:w="22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666666"/>
                <w:w w:val="85"/>
              </w:rPr>
              <w:t>$</w:t>
            </w: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8,624</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666666"/>
              </w:rPr>
              <w:t>$</w:t>
            </w: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Short-term debt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6,343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5,135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Deferred revenue</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1,407</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Short-term operating lease liabilities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3,644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3,814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Short-term financing lease liabilities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1,158</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Other current liabilities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2,815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2,575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DDDDDD"/>
            </w:tcBorders>
            <w:shd w:val="clear" w:color="auto" w:fill="DDDDDD"/>
          </w:tcPr>
          <w:p>
            <w:pPr>
              <w:ind w:left="560"/>
              <w:spacing w:after="0"/>
              <w:rPr>
                <w:sz w:val="20"/>
                <w:szCs w:val="20"/>
                <w:color w:val="auto"/>
              </w:rPr>
            </w:pPr>
            <w:r>
              <w:rPr>
                <w:rFonts w:ascii="Times New Roman" w:cs="Times New Roman" w:eastAsia="Times New Roman" w:hAnsi="Times New Roman"/>
                <w:sz w:val="14"/>
                <w:szCs w:val="14"/>
                <w:color w:val="666666"/>
              </w:rPr>
              <w:t>Total current liabilities</w:t>
            </w: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23,991</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Long-term debt</w:t>
            </w:r>
          </w:p>
        </w:tc>
        <w:tc>
          <w:tcPr>
            <w:tcW w:w="220" w:type="dxa"/>
            <w:vAlign w:val="bottom"/>
            <w:tcBorders>
              <w:top w:val="single" w:sz="8" w:color="929292"/>
            </w:tcBorders>
          </w:tcPr>
          <w:p>
            <w:pPr>
              <w:spacing w:after="0"/>
              <w:rPr>
                <w:sz w:val="16"/>
                <w:szCs w:val="16"/>
                <w:color w:val="auto"/>
              </w:rPr>
            </w:pPr>
          </w:p>
        </w:tc>
        <w:tc>
          <w:tcPr>
            <w:tcW w:w="13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77,323</w:t>
            </w:r>
          </w:p>
        </w:tc>
        <w:tc>
          <w:tcPr>
            <w:tcW w:w="120" w:type="dxa"/>
            <w:vAlign w:val="bottom"/>
          </w:tcPr>
          <w:p>
            <w:pPr>
              <w:spacing w:after="0"/>
              <w:rPr>
                <w:sz w:val="16"/>
                <w:szCs w:val="16"/>
                <w:color w:val="auto"/>
              </w:rPr>
            </w:pPr>
          </w:p>
        </w:tc>
        <w:tc>
          <w:tcPr>
            <w:tcW w:w="220" w:type="dxa"/>
            <w:vAlign w:val="bottom"/>
            <w:tcBorders>
              <w:top w:val="single" w:sz="8" w:color="929292"/>
            </w:tcBorders>
          </w:tcPr>
          <w:p>
            <w:pPr>
              <w:spacing w:after="0"/>
              <w:rPr>
                <w:sz w:val="16"/>
                <w:szCs w:val="16"/>
                <w:color w:val="auto"/>
              </w:rPr>
            </w:pPr>
          </w:p>
        </w:tc>
        <w:tc>
          <w:tcPr>
            <w:tcW w:w="13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79,649</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Long-term debt to affiliates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Tower obligations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3,532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Deferred tax liabilities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21,715</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19,583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Operating lease liabilities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25,017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26,371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Financing lease liabilities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1,136</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Other long-term liabilities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4,196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3,794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DDDDDD"/>
            </w:tcBorders>
            <w:shd w:val="clear" w:color="auto" w:fill="DDDDDD"/>
          </w:tcPr>
          <w:p>
            <w:pPr>
              <w:ind w:left="560"/>
              <w:spacing w:after="0"/>
              <w:rPr>
                <w:sz w:val="20"/>
                <w:szCs w:val="20"/>
                <w:color w:val="auto"/>
              </w:rPr>
            </w:pPr>
            <w:r>
              <w:rPr>
                <w:rFonts w:ascii="Times New Roman" w:cs="Times New Roman" w:eastAsia="Times New Roman" w:hAnsi="Times New Roman"/>
                <w:sz w:val="14"/>
                <w:szCs w:val="14"/>
                <w:color w:val="666666"/>
              </w:rPr>
              <w:t>Total long-term liabilities</w:t>
            </w: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132,806</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135,534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Commitments and contingencies</w:t>
            </w:r>
          </w:p>
        </w:tc>
        <w:tc>
          <w:tcPr>
            <w:tcW w:w="220" w:type="dxa"/>
            <w:vAlign w:val="bottom"/>
            <w:tcBorders>
              <w:top w:val="single" w:sz="8" w:color="929292"/>
            </w:tcBorders>
          </w:tcPr>
          <w:p>
            <w:pPr>
              <w:spacing w:after="0"/>
              <w:rPr>
                <w:sz w:val="15"/>
                <w:szCs w:val="15"/>
                <w:color w:val="auto"/>
              </w:rPr>
            </w:pPr>
          </w:p>
        </w:tc>
        <w:tc>
          <w:tcPr>
            <w:tcW w:w="1340" w:type="dxa"/>
            <w:vAlign w:val="bottom"/>
            <w:tcBorders>
              <w:top w:val="single" w:sz="8" w:color="929292"/>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929292"/>
            </w:tcBorders>
          </w:tcPr>
          <w:p>
            <w:pPr>
              <w:spacing w:after="0"/>
              <w:rPr>
                <w:sz w:val="15"/>
                <w:szCs w:val="15"/>
                <w:color w:val="auto"/>
              </w:rPr>
            </w:pPr>
          </w:p>
        </w:tc>
        <w:tc>
          <w:tcPr>
            <w:tcW w:w="1340" w:type="dxa"/>
            <w:vAlign w:val="bottom"/>
            <w:tcBorders>
              <w:top w:val="single" w:sz="8" w:color="929292"/>
            </w:tcBorders>
          </w:tcPr>
          <w:p>
            <w:pPr>
              <w:spacing w:after="0"/>
              <w:rPr>
                <w:sz w:val="15"/>
                <w:szCs w:val="15"/>
                <w:color w:val="auto"/>
              </w:rPr>
            </w:pPr>
          </w:p>
        </w:tc>
        <w:tc>
          <w:tcPr>
            <w:tcW w:w="20" w:type="dxa"/>
            <w:vAlign w:val="bottom"/>
            <w:tcBorders>
              <w:top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Stockholders' equity</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00" w:type="dxa"/>
            <w:vAlign w:val="bottom"/>
          </w:tcPr>
          <w:p>
            <w:pPr>
              <w:ind w:left="360"/>
              <w:spacing w:after="0" w:line="153" w:lineRule="exact"/>
              <w:rPr>
                <w:sz w:val="20"/>
                <w:szCs w:val="20"/>
                <w:color w:val="auto"/>
              </w:rPr>
            </w:pPr>
            <w:r>
              <w:rPr>
                <w:rFonts w:ascii="Times New Roman" w:cs="Times New Roman" w:eastAsia="Times New Roman" w:hAnsi="Times New Roman"/>
                <w:sz w:val="14"/>
                <w:szCs w:val="14"/>
                <w:color w:val="666666"/>
              </w:rPr>
              <w:t>Common stock, par value $0.00001 per share, 2,000,000,000 shares authorized; 1,280,056,882 and 1,275,774,235 shares issued,</w:t>
            </w:r>
          </w:p>
        </w:tc>
        <w:tc>
          <w:tcPr>
            <w:tcW w:w="2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1,062,845,266 and 1,106,930,661 shares outstanding</w:t>
            </w: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Additional paid-in capital</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70,089</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69,460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Treasury stock, at cost, 217,211,616 and 168,843,574 shares issued</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(40,102)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(30,545)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Accumulated other comprehensive loss</w:t>
            </w: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(595)</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Retained earnings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26,915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21,136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DDDDDD"/>
            </w:tcBorders>
            <w:shd w:val="clear" w:color="auto" w:fill="DDDDDD"/>
          </w:tcPr>
          <w:p>
            <w:pPr>
              <w:ind w:left="560"/>
              <w:spacing w:after="0"/>
              <w:rPr>
                <w:sz w:val="20"/>
                <w:szCs w:val="20"/>
                <w:color w:val="auto"/>
              </w:rPr>
            </w:pPr>
            <w:r>
              <w:rPr>
                <w:rFonts w:ascii="Times New Roman" w:cs="Times New Roman" w:eastAsia="Times New Roman" w:hAnsi="Times New Roman"/>
                <w:sz w:val="14"/>
                <w:szCs w:val="14"/>
                <w:color w:val="666666"/>
              </w:rPr>
              <w:t>Total stockholders' equity</w:t>
            </w: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56,307</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59,203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560"/>
              <w:spacing w:after="0"/>
              <w:rPr>
                <w:sz w:val="20"/>
                <w:szCs w:val="20"/>
                <w:color w:val="auto"/>
              </w:rPr>
            </w:pPr>
            <w:r>
              <w:rPr>
                <w:rFonts w:ascii="Times New Roman" w:cs="Times New Roman" w:eastAsia="Times New Roman" w:hAnsi="Times New Roman"/>
                <w:sz w:val="14"/>
                <w:szCs w:val="14"/>
                <w:color w:val="666666"/>
              </w:rPr>
              <w:t>Total liabilities and stockholders' equity</w:t>
            </w:r>
          </w:p>
        </w:tc>
        <w:tc>
          <w:tcPr>
            <w:tcW w:w="220" w:type="dxa"/>
            <w:vAlign w:val="bottom"/>
            <w:tcBorders>
              <w:top w:val="single" w:sz="8" w:color="929292"/>
              <w:bottom w:val="single" w:sz="8" w:color="929292"/>
            </w:tcBorders>
          </w:tcPr>
          <w:p>
            <w:pPr>
              <w:jc w:val="right"/>
              <w:ind w:right="68"/>
              <w:spacing w:after="0"/>
              <w:rPr>
                <w:sz w:val="20"/>
                <w:szCs w:val="20"/>
                <w:color w:val="auto"/>
              </w:rPr>
            </w:pPr>
            <w:r>
              <w:rPr>
                <w:rFonts w:ascii="Times New Roman" w:cs="Times New Roman" w:eastAsia="Times New Roman" w:hAnsi="Times New Roman"/>
                <w:sz w:val="14"/>
                <w:szCs w:val="14"/>
                <w:color w:val="666666"/>
                <w:w w:val="85"/>
              </w:rPr>
              <w:t>$</w:t>
            </w:r>
          </w:p>
        </w:tc>
        <w:tc>
          <w:tcPr>
            <w:tcW w:w="13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213,104</w:t>
            </w:r>
          </w:p>
        </w:tc>
        <w:tc>
          <w:tcPr>
            <w:tcW w:w="120" w:type="dxa"/>
            <w:vAlign w:val="bottom"/>
          </w:tcPr>
          <w:p>
            <w:pPr>
              <w:spacing w:after="0"/>
              <w:rPr>
                <w:sz w:val="18"/>
                <w:szCs w:val="18"/>
                <w:color w:val="auto"/>
              </w:rPr>
            </w:pPr>
          </w:p>
        </w:tc>
        <w:tc>
          <w:tcPr>
            <w:tcW w:w="220" w:type="dxa"/>
            <w:vAlign w:val="bottom"/>
            <w:tcBorders>
              <w:top w:val="single" w:sz="8" w:color="929292"/>
              <w:bottom w:val="single" w:sz="8" w:color="929292"/>
            </w:tcBorders>
          </w:tcPr>
          <w:p>
            <w:pPr>
              <w:jc w:val="right"/>
              <w:ind w:right="68"/>
              <w:spacing w:after="0"/>
              <w:rPr>
                <w:sz w:val="20"/>
                <w:szCs w:val="20"/>
                <w:color w:val="auto"/>
              </w:rPr>
            </w:pPr>
            <w:r>
              <w:rPr>
                <w:rFonts w:ascii="Times New Roman" w:cs="Times New Roman" w:eastAsia="Times New Roman" w:hAnsi="Times New Roman"/>
                <w:sz w:val="14"/>
                <w:szCs w:val="14"/>
                <w:color w:val="666666"/>
                <w:w w:val="85"/>
              </w:rPr>
              <w:t>$</w:t>
            </w:r>
          </w:p>
        </w:tc>
        <w:tc>
          <w:tcPr>
            <w:tcW w:w="13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219,237</w:t>
            </w:r>
          </w:p>
        </w:tc>
        <w:tc>
          <w:tcPr>
            <w:tcW w:w="20" w:type="dxa"/>
            <w:vAlign w:val="bottom"/>
            <w:tcBorders>
              <w:top w:val="single" w:sz="8" w:color="929292"/>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3"/>
        </w:trPr>
        <w:tc>
          <w:tcPr>
            <w:tcW w:w="8000" w:type="dxa"/>
            <w:vAlign w:val="bottom"/>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3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3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-951230</wp:posOffset>
            </wp:positionV>
            <wp:extent cx="825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-2142490</wp:posOffset>
            </wp:positionV>
            <wp:extent cx="8890" cy="420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-3256915</wp:posOffset>
            </wp:positionV>
            <wp:extent cx="8255" cy="428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-4645660</wp:posOffset>
            </wp:positionV>
            <wp:extent cx="8255" cy="282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-5760085</wp:posOffset>
            </wp:positionV>
            <wp:extent cx="8255" cy="428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-7097395</wp:posOffset>
            </wp:positionV>
            <wp:extent cx="7140575"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24003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566"/>
        </w:trPr>
        <w:tc>
          <w:tcPr>
            <w:tcW w:w="45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1060" w:type="dxa"/>
            <w:vAlign w:val="bottom"/>
            <w:shd w:val="clear" w:color="auto" w:fill="000000"/>
          </w:tcPr>
          <w:p>
            <w:pPr>
              <w:jc w:val="right"/>
              <w:ind w:right="165"/>
              <w:spacing w:after="0"/>
              <w:rPr>
                <w:sz w:val="20"/>
                <w:szCs w:val="20"/>
                <w:color w:val="auto"/>
              </w:rPr>
            </w:pPr>
            <w:r>
              <w:rPr>
                <w:rFonts w:ascii="Arial" w:cs="Arial" w:eastAsia="Arial" w:hAnsi="Arial"/>
                <w:sz w:val="32"/>
                <w:szCs w:val="32"/>
                <w:b w:val="1"/>
                <w:bCs w:val="1"/>
                <w:color w:val="E200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180" w:type="dxa"/>
            <w:vAlign w:val="bottom"/>
            <w:gridSpan w:val="2"/>
            <w:shd w:val="clear" w:color="auto" w:fill="000000"/>
          </w:tcPr>
          <w:p>
            <w:pPr>
              <w:spacing w:after="0"/>
              <w:rPr>
                <w:sz w:val="9"/>
                <w:szCs w:val="9"/>
                <w:color w:val="auto"/>
              </w:rPr>
            </w:pPr>
          </w:p>
        </w:tc>
        <w:tc>
          <w:tcPr>
            <w:tcW w:w="1200" w:type="dxa"/>
            <w:vAlign w:val="bottom"/>
            <w:gridSpan w:val="2"/>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108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114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280" w:type="dxa"/>
            <w:vAlign w:val="bottom"/>
            <w:shd w:val="clear" w:color="auto" w:fill="000000"/>
          </w:tcPr>
          <w:p>
            <w:pPr>
              <w:spacing w:after="0"/>
              <w:rPr>
                <w:sz w:val="9"/>
                <w:szCs w:val="9"/>
                <w:color w:val="auto"/>
              </w:rPr>
            </w:pPr>
          </w:p>
        </w:tc>
        <w:tc>
          <w:tcPr>
            <w:tcW w:w="1060" w:type="dxa"/>
            <w:vAlign w:val="bottom"/>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666666"/>
                <w:w w:val="99"/>
              </w:rPr>
              <w:t>T-Mobile US, Inc.</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10"/>
          </w:tcPr>
          <w:p>
            <w:pPr>
              <w:jc w:val="center"/>
              <w:ind w:left="2708"/>
              <w:spacing w:after="0"/>
              <w:rPr>
                <w:sz w:val="20"/>
                <w:szCs w:val="20"/>
                <w:color w:val="auto"/>
              </w:rPr>
            </w:pPr>
            <w:r>
              <w:rPr>
                <w:rFonts w:ascii="Arial" w:cs="Arial" w:eastAsia="Arial" w:hAnsi="Arial"/>
                <w:sz w:val="18"/>
                <w:szCs w:val="18"/>
                <w:b w:val="1"/>
                <w:bCs w:val="1"/>
                <w:color w:val="666666"/>
                <w:w w:val="99"/>
              </w:rPr>
              <w:t>Condensed Consolidated Statements of Comprehensive Income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center"/>
              <w:ind w:left="367"/>
              <w:spacing w:after="0"/>
              <w:rPr>
                <w:sz w:val="20"/>
                <w:szCs w:val="20"/>
                <w:color w:val="auto"/>
              </w:rPr>
            </w:pPr>
            <w:r>
              <w:rPr>
                <w:rFonts w:ascii="Arial" w:cs="Arial" w:eastAsia="Arial" w:hAnsi="Arial"/>
                <w:sz w:val="18"/>
                <w:szCs w:val="18"/>
                <w:b w:val="1"/>
                <w:bCs w:val="1"/>
                <w:color w:val="666666"/>
                <w:w w:val="99"/>
              </w:rPr>
              <w:t>(Unaudited)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spacing w:after="0"/>
              <w:rPr>
                <w:sz w:val="18"/>
                <w:szCs w:val="18"/>
                <w:color w:val="auto"/>
              </w:rPr>
            </w:pPr>
          </w:p>
        </w:tc>
        <w:tc>
          <w:tcPr>
            <w:tcW w:w="1400" w:type="dxa"/>
            <w:vAlign w:val="bottom"/>
            <w:tcBorders>
              <w:bottom w:val="single" w:sz="8" w:color="E20074"/>
            </w:tcBorders>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4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2580" w:type="dxa"/>
            <w:vAlign w:val="bottom"/>
            <w:tcBorders>
              <w:bottom w:val="single" w:sz="8" w:color="E20074"/>
            </w:tcBorders>
            <w:gridSpan w:val="4"/>
            <w:shd w:val="clear" w:color="auto" w:fill="E20074"/>
          </w:tcPr>
          <w:p>
            <w:pPr>
              <w:jc w:val="right"/>
              <w:ind w:right="245"/>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 except share and per share amounts)</w:t>
            </w:r>
          </w:p>
        </w:tc>
        <w:tc>
          <w:tcPr>
            <w:tcW w:w="120" w:type="dxa"/>
            <w:vAlign w:val="bottom"/>
            <w:shd w:val="clear" w:color="auto" w:fill="E20074"/>
          </w:tcPr>
          <w:p>
            <w:pPr>
              <w:spacing w:after="0"/>
              <w:rPr>
                <w:sz w:val="14"/>
                <w:szCs w:val="14"/>
                <w:color w:val="auto"/>
              </w:rPr>
            </w:pPr>
          </w:p>
        </w:tc>
        <w:tc>
          <w:tcPr>
            <w:tcW w:w="1080" w:type="dxa"/>
            <w:vAlign w:val="bottom"/>
            <w:shd w:val="clear" w:color="auto" w:fill="E20074"/>
          </w:tcPr>
          <w:p>
            <w:pPr>
              <w:jc w:val="right"/>
              <w:ind w:right="87"/>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300" w:type="dxa"/>
            <w:vAlign w:val="bottom"/>
            <w:shd w:val="clear" w:color="auto" w:fill="E20074"/>
          </w:tcPr>
          <w:p>
            <w:pPr>
              <w:spacing w:after="0"/>
              <w:rPr>
                <w:sz w:val="14"/>
                <w:szCs w:val="14"/>
                <w:color w:val="auto"/>
              </w:rPr>
            </w:pPr>
          </w:p>
        </w:tc>
        <w:tc>
          <w:tcPr>
            <w:tcW w:w="900" w:type="dxa"/>
            <w:vAlign w:val="bottom"/>
            <w:shd w:val="clear" w:color="auto" w:fill="E20074"/>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rPr>
              <w:t>June 30,</w:t>
            </w:r>
          </w:p>
        </w:tc>
        <w:tc>
          <w:tcPr>
            <w:tcW w:w="100" w:type="dxa"/>
            <w:vAlign w:val="bottom"/>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1080" w:type="dxa"/>
            <w:vAlign w:val="bottom"/>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140" w:type="dxa"/>
            <w:vAlign w:val="bottom"/>
            <w:vMerge w:val="restart"/>
            <w:shd w:val="clear" w:color="auto" w:fill="E20074"/>
          </w:tcPr>
          <w:p>
            <w:pPr>
              <w:jc w:val="right"/>
              <w:ind w:right="4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4"/>
                <w:szCs w:val="14"/>
                <w:color w:val="auto"/>
              </w:rPr>
            </w:pPr>
          </w:p>
        </w:tc>
        <w:tc>
          <w:tcPr>
            <w:tcW w:w="280" w:type="dxa"/>
            <w:vAlign w:val="bottom"/>
            <w:shd w:val="clear" w:color="auto" w:fill="E20074"/>
          </w:tcPr>
          <w:p>
            <w:pPr>
              <w:spacing w:after="0"/>
              <w:rPr>
                <w:sz w:val="14"/>
                <w:szCs w:val="14"/>
                <w:color w:val="auto"/>
              </w:rPr>
            </w:pPr>
          </w:p>
        </w:tc>
        <w:tc>
          <w:tcPr>
            <w:tcW w:w="1060" w:type="dxa"/>
            <w:vAlign w:val="bottom"/>
            <w:vMerge w:val="restart"/>
            <w:shd w:val="clear" w:color="auto" w:fill="E20074"/>
          </w:tcPr>
          <w:p>
            <w:pPr>
              <w:jc w:val="right"/>
              <w:ind w:right="445"/>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40" w:type="dxa"/>
            <w:vAlign w:val="bottom"/>
            <w:vMerge w:val="continue"/>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80" w:type="dxa"/>
            <w:vAlign w:val="bottom"/>
            <w:shd w:val="clear" w:color="auto" w:fill="E20074"/>
          </w:tcPr>
          <w:p>
            <w:pPr>
              <w:jc w:val="right"/>
              <w:ind w:right="387"/>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300" w:type="dxa"/>
            <w:vAlign w:val="bottom"/>
            <w:shd w:val="clear" w:color="auto" w:fill="E20074"/>
          </w:tcPr>
          <w:p>
            <w:pPr>
              <w:spacing w:after="0"/>
              <w:rPr>
                <w:sz w:val="17"/>
                <w:szCs w:val="17"/>
                <w:color w:val="auto"/>
              </w:rPr>
            </w:pPr>
          </w:p>
        </w:tc>
        <w:tc>
          <w:tcPr>
            <w:tcW w:w="900" w:type="dxa"/>
            <w:vAlign w:val="bottom"/>
            <w:shd w:val="clear" w:color="auto" w:fill="E20074"/>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080" w:type="dxa"/>
            <w:vAlign w:val="bottom"/>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14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E20074"/>
          </w:tcPr>
          <w:p>
            <w:pPr>
              <w:spacing w:after="0"/>
              <w:rPr>
                <w:sz w:val="17"/>
                <w:szCs w:val="17"/>
                <w:color w:val="auto"/>
              </w:rPr>
            </w:pPr>
          </w:p>
        </w:tc>
        <w:tc>
          <w:tcPr>
            <w:tcW w:w="1060" w:type="dxa"/>
            <w:vAlign w:val="bottom"/>
            <w:vMerge w:val="continue"/>
            <w:shd w:val="clear" w:color="auto" w:fill="E2007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Revenues</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Postpaid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16,269</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66666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15,853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14,882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666666"/>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47,751</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42,554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Prepaid revenues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2,427</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2,473</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2,625</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7,417</w:t>
            </w:r>
          </w:p>
        </w:tc>
        <w:tc>
          <w:tcPr>
            <w:tcW w:w="100" w:type="dxa"/>
            <w:vAlign w:val="bottom"/>
            <w:tcBorders>
              <w:bottom w:val="single" w:sz="8" w:color="DDDDDD"/>
            </w:tcBorders>
            <w:shd w:val="clear" w:color="auto" w:fill="DDDDDD"/>
          </w:tcPr>
          <w:p>
            <w:pPr>
              <w:spacing w:after="0"/>
              <w:rPr>
                <w:sz w:val="17"/>
                <w:szCs w:val="17"/>
                <w:color w:val="auto"/>
              </w:rPr>
            </w:pPr>
          </w:p>
        </w:tc>
        <w:tc>
          <w:tcPr>
            <w:tcW w:w="28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Wholesale and other service revenues</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679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734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Total service revenues</w:t>
            </w:r>
          </w:p>
        </w:tc>
        <w:tc>
          <w:tcPr>
            <w:tcW w:w="12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19,375</w:t>
            </w:r>
          </w:p>
        </w:tc>
        <w:tc>
          <w:tcPr>
            <w:tcW w:w="100" w:type="dxa"/>
            <w:vAlign w:val="bottom"/>
            <w:tcBorders>
              <w:bottom w:val="single" w:sz="8" w:color="DDDDDD"/>
            </w:tcBorders>
            <w:shd w:val="clear" w:color="auto" w:fill="DDDDDD"/>
          </w:tcPr>
          <w:p>
            <w:pPr>
              <w:spacing w:after="0"/>
              <w:rPr>
                <w:sz w:val="16"/>
                <w:szCs w:val="16"/>
                <w:color w:val="auto"/>
              </w:rPr>
            </w:pPr>
          </w:p>
        </w:tc>
        <w:tc>
          <w:tcPr>
            <w:tcW w:w="30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18,983</w:t>
            </w:r>
          </w:p>
        </w:tc>
        <w:tc>
          <w:tcPr>
            <w:tcW w:w="10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18,241</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57,189</w:t>
            </w:r>
          </w:p>
        </w:tc>
        <w:tc>
          <w:tcPr>
            <w:tcW w:w="100" w:type="dxa"/>
            <w:vAlign w:val="bottom"/>
            <w:tcBorders>
              <w:bottom w:val="single" w:sz="8" w:color="DDDDDD"/>
            </w:tcBorders>
            <w:shd w:val="clear" w:color="auto" w:fill="DDDDDD"/>
          </w:tcPr>
          <w:p>
            <w:pPr>
              <w:spacing w:after="0"/>
              <w:rPr>
                <w:sz w:val="16"/>
                <w:szCs w:val="16"/>
                <w:color w:val="auto"/>
              </w:rPr>
            </w:pPr>
          </w:p>
        </w:tc>
        <w:tc>
          <w:tcPr>
            <w:tcW w:w="280" w:type="dxa"/>
            <w:vAlign w:val="bottom"/>
            <w:tcBorders>
              <w:bottom w:val="single" w:sz="8" w:color="DDDDDD"/>
            </w:tcBorders>
            <w:shd w:val="clear" w:color="auto" w:fill="DDDDDD"/>
          </w:tcPr>
          <w:p>
            <w:pPr>
              <w:spacing w:after="0"/>
              <w:rPr>
                <w:sz w:val="16"/>
                <w:szCs w:val="16"/>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52,604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Equipment revenues</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3,929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3,524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3,465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11,449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10,608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Other revenues</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280</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284</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251</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844</w:t>
            </w:r>
          </w:p>
        </w:tc>
        <w:tc>
          <w:tcPr>
            <w:tcW w:w="10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Total revenues</w:t>
            </w: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4"/>
                <w:szCs w:val="14"/>
                <w:color w:val="666666"/>
              </w:rPr>
              <w:t>23,584</w:t>
            </w:r>
          </w:p>
        </w:tc>
        <w:tc>
          <w:tcPr>
            <w:tcW w:w="10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90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22,791</w:t>
            </w:r>
          </w:p>
        </w:tc>
        <w:tc>
          <w:tcPr>
            <w:tcW w:w="100" w:type="dxa"/>
            <w:vAlign w:val="bottom"/>
          </w:tcPr>
          <w:p>
            <w:pPr>
              <w:spacing w:after="0"/>
              <w:rPr>
                <w:sz w:val="16"/>
                <w:szCs w:val="16"/>
                <w:color w:val="auto"/>
              </w:rPr>
            </w:pPr>
          </w:p>
        </w:tc>
        <w:tc>
          <w:tcPr>
            <w:tcW w:w="14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21,957</w:t>
            </w:r>
          </w:p>
        </w:tc>
        <w:tc>
          <w:tcPr>
            <w:tcW w:w="100" w:type="dxa"/>
            <w:vAlign w:val="bottom"/>
          </w:tcPr>
          <w:p>
            <w:pPr>
              <w:spacing w:after="0"/>
              <w:rPr>
                <w:sz w:val="16"/>
                <w:szCs w:val="16"/>
                <w:color w:val="auto"/>
              </w:rPr>
            </w:pPr>
          </w:p>
        </w:tc>
        <w:tc>
          <w:tcPr>
            <w:tcW w:w="200" w:type="dxa"/>
            <w:vAlign w:val="bottom"/>
            <w:tcBorders>
              <w:top w:val="single" w:sz="8" w:color="929292"/>
            </w:tcBorders>
          </w:tcPr>
          <w:p>
            <w:pPr>
              <w:spacing w:after="0"/>
              <w:rPr>
                <w:sz w:val="16"/>
                <w:szCs w:val="16"/>
                <w:color w:val="auto"/>
              </w:rPr>
            </w:pPr>
          </w:p>
        </w:tc>
        <w:tc>
          <w:tcPr>
            <w:tcW w:w="11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69,482</w:t>
            </w:r>
          </w:p>
        </w:tc>
        <w:tc>
          <w:tcPr>
            <w:tcW w:w="100" w:type="dxa"/>
            <w:vAlign w:val="bottom"/>
          </w:tcPr>
          <w:p>
            <w:pPr>
              <w:spacing w:after="0"/>
              <w:rPr>
                <w:sz w:val="16"/>
                <w:szCs w:val="16"/>
                <w:color w:val="auto"/>
              </w:rPr>
            </w:pPr>
          </w:p>
        </w:tc>
        <w:tc>
          <w:tcPr>
            <w:tcW w:w="280" w:type="dxa"/>
            <w:vAlign w:val="bottom"/>
            <w:tcBorders>
              <w:top w:val="single" w:sz="8" w:color="929292"/>
            </w:tcBorders>
          </w:tcPr>
          <w:p>
            <w:pPr>
              <w:spacing w:after="0"/>
              <w:rPr>
                <w:sz w:val="16"/>
                <w:szCs w:val="16"/>
                <w:color w:val="auto"/>
              </w:rPr>
            </w:pPr>
          </w:p>
        </w:tc>
        <w:tc>
          <w:tcPr>
            <w:tcW w:w="10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63,975</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Operating expenses</w:t>
            </w: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9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14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0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80" w:type="dxa"/>
            <w:vAlign w:val="bottom"/>
            <w:tcBorders>
              <w:bottom w:val="single" w:sz="8" w:color="DDDDDD"/>
            </w:tcBorders>
            <w:shd w:val="clear" w:color="auto" w:fill="DDDDDD"/>
          </w:tcPr>
          <w:p>
            <w:pPr>
              <w:spacing w:after="0"/>
              <w:rPr>
                <w:sz w:val="15"/>
                <w:szCs w:val="15"/>
                <w:color w:val="auto"/>
              </w:rPr>
            </w:pPr>
          </w:p>
        </w:tc>
        <w:tc>
          <w:tcPr>
            <w:tcW w:w="1060" w:type="dxa"/>
            <w:vAlign w:val="bottom"/>
            <w:tcBorders>
              <w:bottom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666666"/>
              </w:rPr>
              <w:t>Cost of services, exclusive of depreciation and amortization shown separately</w:t>
            </w:r>
          </w:p>
        </w:tc>
        <w:tc>
          <w:tcPr>
            <w:tcW w:w="120" w:type="dxa"/>
            <w:vAlign w:val="bottom"/>
          </w:tcPr>
          <w:p>
            <w:pPr>
              <w:spacing w:after="0"/>
              <w:rPr>
                <w:sz w:val="13"/>
                <w:szCs w:val="13"/>
                <w:color w:val="auto"/>
              </w:rPr>
            </w:pPr>
          </w:p>
        </w:tc>
        <w:tc>
          <w:tcPr>
            <w:tcW w:w="108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color w:val="666666"/>
              </w:rPr>
              <w:t>3,007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2,978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666666"/>
              </w:rPr>
              <w:t>2,873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9,324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8,192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below</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4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666666"/>
              </w:rPr>
              <w:t>Cost of equipment sales, exclusive of depreciation and amortization shown</w:t>
            </w:r>
          </w:p>
        </w:tc>
        <w:tc>
          <w:tcPr>
            <w:tcW w:w="120" w:type="dxa"/>
            <w:vAlign w:val="bottom"/>
            <w:shd w:val="clear" w:color="auto" w:fill="DDDDDD"/>
          </w:tcPr>
          <w:p>
            <w:pPr>
              <w:spacing w:after="0"/>
              <w:rPr>
                <w:sz w:val="13"/>
                <w:szCs w:val="13"/>
                <w:color w:val="auto"/>
              </w:rPr>
            </w:pPr>
          </w:p>
        </w:tc>
        <w:tc>
          <w:tcPr>
            <w:tcW w:w="1080" w:type="dxa"/>
            <w:vAlign w:val="bottom"/>
            <w:vMerge w:val="restart"/>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5,444</w:t>
            </w:r>
          </w:p>
        </w:tc>
        <w:tc>
          <w:tcPr>
            <w:tcW w:w="10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5,055</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0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4,853</w:t>
            </w:r>
          </w:p>
        </w:tc>
        <w:tc>
          <w:tcPr>
            <w:tcW w:w="10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15,987</w:t>
            </w: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14,310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separately below</w:t>
            </w:r>
          </w:p>
        </w:tc>
        <w:tc>
          <w:tcPr>
            <w:tcW w:w="120" w:type="dxa"/>
            <w:vAlign w:val="bottom"/>
            <w:shd w:val="clear" w:color="auto" w:fill="DDDDDD"/>
          </w:tcPr>
          <w:p>
            <w:pPr>
              <w:spacing w:after="0"/>
              <w:rPr>
                <w:sz w:val="17"/>
                <w:szCs w:val="17"/>
                <w:color w:val="auto"/>
              </w:rPr>
            </w:pPr>
          </w:p>
        </w:tc>
        <w:tc>
          <w:tcPr>
            <w:tcW w:w="10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Selling, general and administrative</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6,020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5,834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6,015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17,820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16,900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Impairment expense</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0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666666"/>
              </w:rPr>
              <w:t>—</w:t>
            </w:r>
          </w:p>
        </w:tc>
        <w:tc>
          <w:tcPr>
            <w:tcW w:w="14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278</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DDDDD"/>
            </w:tcBorders>
            <w:shd w:val="clear" w:color="auto" w:fill="DDDDDD"/>
          </w:tcPr>
          <w:p>
            <w:pPr>
              <w:spacing w:after="0"/>
              <w:rPr>
                <w:sz w:val="17"/>
                <w:szCs w:val="17"/>
                <w:color w:val="auto"/>
              </w:rPr>
            </w:pPr>
          </w:p>
        </w:tc>
        <w:tc>
          <w:tcPr>
            <w:tcW w:w="28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Depreciation and amortization</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3,452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3,408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10,703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9,752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Total operating expenses</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17,923</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17,301</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17,427</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53,834</w:t>
            </w:r>
          </w:p>
        </w:tc>
        <w:tc>
          <w:tcPr>
            <w:tcW w:w="10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49,432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Operating income</w:t>
            </w: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4"/>
                <w:szCs w:val="14"/>
                <w:color w:val="666666"/>
              </w:rPr>
              <w:t>5,661</w:t>
            </w:r>
          </w:p>
        </w:tc>
        <w:tc>
          <w:tcPr>
            <w:tcW w:w="10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90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5,490</w:t>
            </w:r>
          </w:p>
        </w:tc>
        <w:tc>
          <w:tcPr>
            <w:tcW w:w="100" w:type="dxa"/>
            <w:vAlign w:val="bottom"/>
          </w:tcPr>
          <w:p>
            <w:pPr>
              <w:spacing w:after="0"/>
              <w:rPr>
                <w:sz w:val="16"/>
                <w:szCs w:val="16"/>
                <w:color w:val="auto"/>
              </w:rPr>
            </w:pPr>
          </w:p>
        </w:tc>
        <w:tc>
          <w:tcPr>
            <w:tcW w:w="14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4,530</w:t>
            </w:r>
          </w:p>
        </w:tc>
        <w:tc>
          <w:tcPr>
            <w:tcW w:w="100" w:type="dxa"/>
            <w:vAlign w:val="bottom"/>
          </w:tcPr>
          <w:p>
            <w:pPr>
              <w:spacing w:after="0"/>
              <w:rPr>
                <w:sz w:val="16"/>
                <w:szCs w:val="16"/>
                <w:color w:val="auto"/>
              </w:rPr>
            </w:pPr>
          </w:p>
        </w:tc>
        <w:tc>
          <w:tcPr>
            <w:tcW w:w="200" w:type="dxa"/>
            <w:vAlign w:val="bottom"/>
            <w:tcBorders>
              <w:top w:val="single" w:sz="8" w:color="929292"/>
            </w:tcBorders>
          </w:tcPr>
          <w:p>
            <w:pPr>
              <w:spacing w:after="0"/>
              <w:rPr>
                <w:sz w:val="16"/>
                <w:szCs w:val="16"/>
                <w:color w:val="auto"/>
              </w:rPr>
            </w:pPr>
          </w:p>
        </w:tc>
        <w:tc>
          <w:tcPr>
            <w:tcW w:w="11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15,648</w:t>
            </w:r>
          </w:p>
        </w:tc>
        <w:tc>
          <w:tcPr>
            <w:tcW w:w="100" w:type="dxa"/>
            <w:vAlign w:val="bottom"/>
          </w:tcPr>
          <w:p>
            <w:pPr>
              <w:spacing w:after="0"/>
              <w:rPr>
                <w:sz w:val="16"/>
                <w:szCs w:val="16"/>
                <w:color w:val="auto"/>
              </w:rPr>
            </w:pPr>
          </w:p>
        </w:tc>
        <w:tc>
          <w:tcPr>
            <w:tcW w:w="280" w:type="dxa"/>
            <w:vAlign w:val="bottom"/>
            <w:tcBorders>
              <w:top w:val="single" w:sz="8" w:color="929292"/>
            </w:tcBorders>
          </w:tcPr>
          <w:p>
            <w:pPr>
              <w:spacing w:after="0"/>
              <w:rPr>
                <w:sz w:val="16"/>
                <w:szCs w:val="16"/>
                <w:color w:val="auto"/>
              </w:rPr>
            </w:pPr>
          </w:p>
        </w:tc>
        <w:tc>
          <w:tcPr>
            <w:tcW w:w="10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14,543</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Other expense, net</w:t>
            </w: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9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14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0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80" w:type="dxa"/>
            <w:vAlign w:val="bottom"/>
            <w:tcBorders>
              <w:bottom w:val="single" w:sz="8" w:color="DDDDDD"/>
            </w:tcBorders>
            <w:shd w:val="clear" w:color="auto" w:fill="DDDDDD"/>
          </w:tcPr>
          <w:p>
            <w:pPr>
              <w:spacing w:after="0"/>
              <w:rPr>
                <w:sz w:val="15"/>
                <w:szCs w:val="15"/>
                <w:color w:val="auto"/>
              </w:rPr>
            </w:pPr>
          </w:p>
        </w:tc>
        <w:tc>
          <w:tcPr>
            <w:tcW w:w="1060" w:type="dxa"/>
            <w:vAlign w:val="bottom"/>
            <w:tcBorders>
              <w:bottom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Interest expense,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(3,117)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(2,762)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Other expense, net</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(90)</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(107)</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(78)</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(329)</w:t>
            </w:r>
          </w:p>
        </w:tc>
        <w:tc>
          <w:tcPr>
            <w:tcW w:w="10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360"/>
              <w:spacing w:after="0"/>
              <w:rPr>
                <w:sz w:val="20"/>
                <w:szCs w:val="20"/>
                <w:color w:val="auto"/>
              </w:rPr>
            </w:pPr>
            <w:r>
              <w:rPr>
                <w:rFonts w:ascii="Times New Roman" w:cs="Times New Roman" w:eastAsia="Times New Roman" w:hAnsi="Times New Roman"/>
                <w:sz w:val="14"/>
                <w:szCs w:val="14"/>
                <w:color w:val="666666"/>
              </w:rPr>
              <w:t>Total other expense, net</w:t>
            </w: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(1,121)</w:t>
            </w:r>
          </w:p>
        </w:tc>
        <w:tc>
          <w:tcPr>
            <w:tcW w:w="10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90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(1,162)</w:t>
            </w:r>
          </w:p>
        </w:tc>
        <w:tc>
          <w:tcPr>
            <w:tcW w:w="100" w:type="dxa"/>
            <w:vAlign w:val="bottom"/>
          </w:tcPr>
          <w:p>
            <w:pPr>
              <w:spacing w:after="0"/>
              <w:rPr>
                <w:sz w:val="16"/>
                <w:szCs w:val="16"/>
                <w:color w:val="auto"/>
              </w:rPr>
            </w:pPr>
          </w:p>
        </w:tc>
        <w:tc>
          <w:tcPr>
            <w:tcW w:w="14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(1,002)</w:t>
            </w:r>
          </w:p>
        </w:tc>
        <w:tc>
          <w:tcPr>
            <w:tcW w:w="100" w:type="dxa"/>
            <w:vAlign w:val="bottom"/>
          </w:tcPr>
          <w:p>
            <w:pPr>
              <w:spacing w:after="0"/>
              <w:rPr>
                <w:sz w:val="16"/>
                <w:szCs w:val="16"/>
                <w:color w:val="auto"/>
              </w:rPr>
            </w:pPr>
          </w:p>
        </w:tc>
        <w:tc>
          <w:tcPr>
            <w:tcW w:w="200" w:type="dxa"/>
            <w:vAlign w:val="bottom"/>
            <w:tcBorders>
              <w:top w:val="single" w:sz="8" w:color="929292"/>
            </w:tcBorders>
          </w:tcPr>
          <w:p>
            <w:pPr>
              <w:spacing w:after="0"/>
              <w:rPr>
                <w:sz w:val="16"/>
                <w:szCs w:val="16"/>
                <w:color w:val="auto"/>
              </w:rPr>
            </w:pPr>
          </w:p>
        </w:tc>
        <w:tc>
          <w:tcPr>
            <w:tcW w:w="11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(3,446)</w:t>
            </w:r>
          </w:p>
        </w:tc>
        <w:tc>
          <w:tcPr>
            <w:tcW w:w="100" w:type="dxa"/>
            <w:vAlign w:val="bottom"/>
          </w:tcPr>
          <w:p>
            <w:pPr>
              <w:spacing w:after="0"/>
              <w:rPr>
                <w:sz w:val="16"/>
                <w:szCs w:val="16"/>
                <w:color w:val="auto"/>
              </w:rPr>
            </w:pPr>
          </w:p>
        </w:tc>
        <w:tc>
          <w:tcPr>
            <w:tcW w:w="280" w:type="dxa"/>
            <w:vAlign w:val="bottom"/>
            <w:tcBorders>
              <w:top w:val="single" w:sz="8" w:color="929292"/>
            </w:tcBorders>
          </w:tcPr>
          <w:p>
            <w:pPr>
              <w:spacing w:after="0"/>
              <w:rPr>
                <w:sz w:val="16"/>
                <w:szCs w:val="16"/>
                <w:color w:val="auto"/>
              </w:rPr>
            </w:pPr>
          </w:p>
        </w:tc>
        <w:tc>
          <w:tcPr>
            <w:tcW w:w="10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(2,897)</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Income before income taxes</w:t>
            </w:r>
          </w:p>
        </w:tc>
        <w:tc>
          <w:tcPr>
            <w:tcW w:w="12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4,540</w:t>
            </w:r>
          </w:p>
        </w:tc>
        <w:tc>
          <w:tcPr>
            <w:tcW w:w="100" w:type="dxa"/>
            <w:vAlign w:val="bottom"/>
            <w:tcBorders>
              <w:bottom w:val="single" w:sz="8" w:color="DDDDDD"/>
            </w:tcBorders>
            <w:shd w:val="clear" w:color="auto" w:fill="DDDDDD"/>
          </w:tcPr>
          <w:p>
            <w:pPr>
              <w:spacing w:after="0"/>
              <w:rPr>
                <w:sz w:val="16"/>
                <w:szCs w:val="16"/>
                <w:color w:val="auto"/>
              </w:rPr>
            </w:pPr>
          </w:p>
        </w:tc>
        <w:tc>
          <w:tcPr>
            <w:tcW w:w="30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4,328</w:t>
            </w:r>
          </w:p>
        </w:tc>
        <w:tc>
          <w:tcPr>
            <w:tcW w:w="10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3,528</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12,202</w:t>
            </w:r>
          </w:p>
        </w:tc>
        <w:tc>
          <w:tcPr>
            <w:tcW w:w="100" w:type="dxa"/>
            <w:vAlign w:val="bottom"/>
            <w:tcBorders>
              <w:bottom w:val="single" w:sz="8" w:color="DDDDDD"/>
            </w:tcBorders>
            <w:shd w:val="clear" w:color="auto" w:fill="DDDDDD"/>
          </w:tcPr>
          <w:p>
            <w:pPr>
              <w:spacing w:after="0"/>
              <w:rPr>
                <w:sz w:val="16"/>
                <w:szCs w:val="16"/>
                <w:color w:val="auto"/>
              </w:rPr>
            </w:pPr>
          </w:p>
        </w:tc>
        <w:tc>
          <w:tcPr>
            <w:tcW w:w="280" w:type="dxa"/>
            <w:vAlign w:val="bottom"/>
            <w:tcBorders>
              <w:bottom w:val="single" w:sz="8" w:color="DDDDDD"/>
            </w:tcBorders>
            <w:shd w:val="clear" w:color="auto" w:fill="DDDDDD"/>
          </w:tcPr>
          <w:p>
            <w:pPr>
              <w:spacing w:after="0"/>
              <w:rPr>
                <w:sz w:val="16"/>
                <w:szCs w:val="16"/>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11,646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Income tax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(3,004)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(2,757)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Net income</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3,455</w:t>
            </w:r>
          </w:p>
        </w:tc>
        <w:tc>
          <w:tcPr>
            <w:tcW w:w="400" w:type="dxa"/>
            <w:vAlign w:val="bottom"/>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666666"/>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3,239</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2,714</w:t>
            </w: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666666"/>
                <w:w w:val="85"/>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9,198</w:t>
            </w:r>
          </w:p>
        </w:tc>
        <w:tc>
          <w:tcPr>
            <w:tcW w:w="380" w:type="dxa"/>
            <w:vAlign w:val="bottom"/>
            <w:gridSpan w:val="2"/>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DDDDDD"/>
            </w:tcBorders>
          </w:tcPr>
          <w:p>
            <w:pPr>
              <w:spacing w:after="0"/>
              <w:rPr>
                <w:sz w:val="17"/>
                <w:szCs w:val="17"/>
                <w:color w:val="auto"/>
              </w:rPr>
            </w:pPr>
          </w:p>
        </w:tc>
        <w:tc>
          <w:tcPr>
            <w:tcW w:w="120" w:type="dxa"/>
            <w:vAlign w:val="bottom"/>
            <w:tcBorders>
              <w:top w:val="single" w:sz="8" w:color="929292"/>
            </w:tcBorders>
          </w:tcPr>
          <w:p>
            <w:pPr>
              <w:spacing w:after="0"/>
              <w:rPr>
                <w:sz w:val="17"/>
                <w:szCs w:val="17"/>
                <w:color w:val="auto"/>
              </w:rPr>
            </w:pPr>
          </w:p>
        </w:tc>
        <w:tc>
          <w:tcPr>
            <w:tcW w:w="1080" w:type="dxa"/>
            <w:vAlign w:val="bottom"/>
            <w:tcBorders>
              <w:top w:val="single" w:sz="8" w:color="929292"/>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300" w:type="dxa"/>
            <w:vAlign w:val="bottom"/>
            <w:tcBorders>
              <w:top w:val="single" w:sz="8" w:color="929292"/>
            </w:tcBorders>
          </w:tcPr>
          <w:p>
            <w:pPr>
              <w:spacing w:after="0"/>
              <w:rPr>
                <w:sz w:val="17"/>
                <w:szCs w:val="17"/>
                <w:color w:val="auto"/>
              </w:rPr>
            </w:pPr>
          </w:p>
        </w:tc>
        <w:tc>
          <w:tcPr>
            <w:tcW w:w="900" w:type="dxa"/>
            <w:vAlign w:val="bottom"/>
            <w:tcBorders>
              <w:top w:val="single" w:sz="8" w:color="929292"/>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140" w:type="dxa"/>
            <w:vAlign w:val="bottom"/>
            <w:tcBorders>
              <w:top w:val="single" w:sz="8" w:color="929292"/>
            </w:tcBorders>
          </w:tcPr>
          <w:p>
            <w:pPr>
              <w:spacing w:after="0"/>
              <w:rPr>
                <w:sz w:val="17"/>
                <w:szCs w:val="17"/>
                <w:color w:val="auto"/>
              </w:rPr>
            </w:pPr>
          </w:p>
        </w:tc>
        <w:tc>
          <w:tcPr>
            <w:tcW w:w="1080" w:type="dxa"/>
            <w:vAlign w:val="bottom"/>
            <w:tcBorders>
              <w:top w:val="single" w:sz="8" w:color="929292"/>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200" w:type="dxa"/>
            <w:vAlign w:val="bottom"/>
            <w:tcBorders>
              <w:top w:val="single" w:sz="8" w:color="929292"/>
            </w:tcBorders>
          </w:tcPr>
          <w:p>
            <w:pPr>
              <w:spacing w:after="0"/>
              <w:rPr>
                <w:sz w:val="17"/>
                <w:szCs w:val="17"/>
                <w:color w:val="auto"/>
              </w:rPr>
            </w:pPr>
          </w:p>
        </w:tc>
        <w:tc>
          <w:tcPr>
            <w:tcW w:w="1140" w:type="dxa"/>
            <w:vAlign w:val="bottom"/>
            <w:tcBorders>
              <w:top w:val="single" w:sz="8" w:color="929292"/>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280" w:type="dxa"/>
            <w:vAlign w:val="bottom"/>
            <w:tcBorders>
              <w:top w:val="single" w:sz="8" w:color="929292"/>
            </w:tcBorders>
          </w:tcPr>
          <w:p>
            <w:pPr>
              <w:spacing w:after="0"/>
              <w:rPr>
                <w:sz w:val="17"/>
                <w:szCs w:val="17"/>
                <w:color w:val="auto"/>
              </w:rPr>
            </w:pPr>
          </w:p>
        </w:tc>
        <w:tc>
          <w:tcPr>
            <w:tcW w:w="1060" w:type="dxa"/>
            <w:vAlign w:val="bottom"/>
            <w:tcBorders>
              <w:top w:val="single" w:sz="8" w:color="929292"/>
            </w:tcBorders>
          </w:tcPr>
          <w:p>
            <w:pPr>
              <w:spacing w:after="0"/>
              <w:rPr>
                <w:sz w:val="17"/>
                <w:szCs w:val="17"/>
                <w:color w:val="auto"/>
              </w:rPr>
            </w:pPr>
          </w:p>
        </w:tc>
        <w:tc>
          <w:tcPr>
            <w:tcW w:w="20" w:type="dxa"/>
            <w:vAlign w:val="bottom"/>
            <w:tcBorders>
              <w:top w:val="single" w:sz="8" w:color="929292"/>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Net income</w:t>
            </w:r>
          </w:p>
        </w:tc>
        <w:tc>
          <w:tcPr>
            <w:tcW w:w="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3,455</w:t>
            </w:r>
          </w:p>
        </w:tc>
        <w:tc>
          <w:tcPr>
            <w:tcW w:w="400" w:type="dxa"/>
            <w:vAlign w:val="bottom"/>
            <w:tcBorders>
              <w:bottom w:val="single" w:sz="8" w:color="DDDDDD"/>
            </w:tcBorders>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666666"/>
              </w:rPr>
              <w:t>$</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3,239</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2,714</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666666"/>
                <w:w w:val="85"/>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9,198</w:t>
            </w:r>
          </w:p>
        </w:tc>
        <w:tc>
          <w:tcPr>
            <w:tcW w:w="380" w:type="dxa"/>
            <w:vAlign w:val="bottom"/>
            <w:tcBorders>
              <w:bottom w:val="single" w:sz="8" w:color="DDDDDD"/>
            </w:tcBorders>
            <w:gridSpan w:val="2"/>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666666"/>
              </w:rPr>
              <w:t>Other comprehensive income (loss), net of tax</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540" w:type="dxa"/>
            <w:vAlign w:val="bottom"/>
            <w:shd w:val="clear" w:color="auto" w:fill="DDDDDD"/>
          </w:tcPr>
          <w:p>
            <w:pPr>
              <w:ind w:left="20"/>
              <w:spacing w:after="0" w:line="153" w:lineRule="exact"/>
              <w:rPr>
                <w:sz w:val="20"/>
                <w:szCs w:val="20"/>
                <w:color w:val="auto"/>
              </w:rPr>
            </w:pPr>
            <w:r>
              <w:rPr>
                <w:rFonts w:ascii="Times New Roman" w:cs="Times New Roman" w:eastAsia="Times New Roman" w:hAnsi="Times New Roman"/>
                <w:sz w:val="14"/>
                <w:szCs w:val="14"/>
                <w:color w:val="666666"/>
              </w:rPr>
              <w:t>Reclassification of loss from cash flow hedges, net of tax effect of $18, $17,</w:t>
            </w:r>
          </w:p>
        </w:tc>
        <w:tc>
          <w:tcPr>
            <w:tcW w:w="120" w:type="dxa"/>
            <w:vAlign w:val="bottom"/>
            <w:shd w:val="clear" w:color="auto" w:fill="DDDDDD"/>
          </w:tcPr>
          <w:p>
            <w:pPr>
              <w:spacing w:after="0"/>
              <w:rPr>
                <w:sz w:val="13"/>
                <w:szCs w:val="13"/>
                <w:color w:val="auto"/>
              </w:rPr>
            </w:pPr>
          </w:p>
        </w:tc>
        <w:tc>
          <w:tcPr>
            <w:tcW w:w="1080" w:type="dxa"/>
            <w:vAlign w:val="bottom"/>
            <w:vMerge w:val="restart"/>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52</w:t>
            </w:r>
          </w:p>
        </w:tc>
        <w:tc>
          <w:tcPr>
            <w:tcW w:w="10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50</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0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48</w:t>
            </w:r>
          </w:p>
        </w:tc>
        <w:tc>
          <w:tcPr>
            <w:tcW w:w="10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152</w:t>
            </w: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$16, $52 and $48</w:t>
            </w:r>
          </w:p>
        </w:tc>
        <w:tc>
          <w:tcPr>
            <w:tcW w:w="120" w:type="dxa"/>
            <w:vAlign w:val="bottom"/>
            <w:shd w:val="clear" w:color="auto" w:fill="DDDDDD"/>
          </w:tcPr>
          <w:p>
            <w:pPr>
              <w:spacing w:after="0"/>
              <w:rPr>
                <w:sz w:val="17"/>
                <w:szCs w:val="17"/>
                <w:color w:val="auto"/>
              </w:rPr>
            </w:pPr>
          </w:p>
        </w:tc>
        <w:tc>
          <w:tcPr>
            <w:tcW w:w="10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666666"/>
              </w:rPr>
              <w:t>Gains (losses) on fair value hedges, net of tax effect of $9, $48, $(7), $45 and</w:t>
            </w:r>
          </w:p>
        </w:tc>
        <w:tc>
          <w:tcPr>
            <w:tcW w:w="120" w:type="dxa"/>
            <w:vAlign w:val="bottom"/>
          </w:tcPr>
          <w:p>
            <w:pPr>
              <w:spacing w:after="0"/>
              <w:rPr>
                <w:sz w:val="13"/>
                <w:szCs w:val="13"/>
                <w:color w:val="auto"/>
              </w:rPr>
            </w:pPr>
          </w:p>
        </w:tc>
        <w:tc>
          <w:tcPr>
            <w:tcW w:w="108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color w:val="666666"/>
              </w:rPr>
              <w:t>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142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133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$(55)</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4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666666"/>
              </w:rPr>
              <w:t>Unrealized gain (loss) on foreign currency translation adjustment, net of tax</w:t>
            </w:r>
          </w:p>
        </w:tc>
        <w:tc>
          <w:tcPr>
            <w:tcW w:w="120" w:type="dxa"/>
            <w:vAlign w:val="bottom"/>
            <w:shd w:val="clear" w:color="auto" w:fill="DDDDDD"/>
          </w:tcPr>
          <w:p>
            <w:pPr>
              <w:spacing w:after="0"/>
              <w:rPr>
                <w:sz w:val="13"/>
                <w:szCs w:val="13"/>
                <w:color w:val="auto"/>
              </w:rPr>
            </w:pPr>
          </w:p>
        </w:tc>
        <w:tc>
          <w:tcPr>
            <w:tcW w:w="1080" w:type="dxa"/>
            <w:vAlign w:val="bottom"/>
            <w:vMerge w:val="restart"/>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1</w:t>
            </w:r>
          </w:p>
        </w:tc>
        <w:tc>
          <w:tcPr>
            <w:tcW w:w="10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180" w:type="dxa"/>
            <w:vAlign w:val="bottom"/>
            <w:gridSpan w:val="2"/>
            <w:vMerge w:val="restart"/>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666666"/>
              </w:rPr>
              <w:t>—</w:t>
            </w:r>
          </w:p>
        </w:tc>
        <w:tc>
          <w:tcPr>
            <w:tcW w:w="20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w:t>
            </w: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effect of $1, $0, $0, $1 and $0</w:t>
            </w:r>
          </w:p>
        </w:tc>
        <w:tc>
          <w:tcPr>
            <w:tcW w:w="120" w:type="dxa"/>
            <w:vAlign w:val="bottom"/>
            <w:shd w:val="clear" w:color="auto" w:fill="DDDDDD"/>
          </w:tcPr>
          <w:p>
            <w:pPr>
              <w:spacing w:after="0"/>
              <w:rPr>
                <w:sz w:val="17"/>
                <w:szCs w:val="17"/>
                <w:color w:val="auto"/>
              </w:rPr>
            </w:pPr>
          </w:p>
        </w:tc>
        <w:tc>
          <w:tcPr>
            <w:tcW w:w="10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180" w:type="dxa"/>
            <w:vAlign w:val="bottom"/>
            <w:gridSpan w:val="2"/>
            <w:vMerge w:val="continue"/>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666666"/>
              </w:rPr>
              <w:t>Prior service cost, net of amortization, and amortization of actuarial gain, on</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666666"/>
              </w:rPr>
              <w:t>pension and other postretirement benefits, net of tax effect of $(13), $(1), $0,</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color w:val="666666"/>
              </w:rPr>
              <w:t>$(14) and $(1)</w:t>
            </w:r>
          </w:p>
        </w:tc>
        <w:tc>
          <w:tcPr>
            <w:tcW w:w="120" w:type="dxa"/>
            <w:vAlign w:val="bottom"/>
            <w:tcBorders>
              <w:bottom w:val="single" w:sz="8" w:color="929292"/>
            </w:tcBorders>
          </w:tcPr>
          <w:p>
            <w:pPr>
              <w:spacing w:after="0"/>
              <w:rPr>
                <w:sz w:val="17"/>
                <w:szCs w:val="17"/>
                <w:color w:val="auto"/>
              </w:rPr>
            </w:pPr>
          </w:p>
        </w:tc>
        <w:tc>
          <w:tcPr>
            <w:tcW w:w="1080" w:type="dxa"/>
            <w:vAlign w:val="bottom"/>
            <w:tcBorders>
              <w:bottom w:val="single" w:sz="8" w:color="929292"/>
            </w:tcBorders>
            <w:vMerge w:val="continue"/>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vMerge w:val="continue"/>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1080" w:type="dxa"/>
            <w:vAlign w:val="bottom"/>
            <w:tcBorders>
              <w:bottom w:val="single" w:sz="8" w:color="929292"/>
            </w:tcBorders>
            <w:vMerge w:val="continue"/>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vMerge w:val="continue"/>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vMerge w:val="continue"/>
          </w:tcPr>
          <w:p>
            <w:pPr>
              <w:spacing w:after="0"/>
              <w:rPr>
                <w:sz w:val="17"/>
                <w:szCs w:val="17"/>
                <w:color w:val="auto"/>
              </w:rPr>
            </w:pPr>
          </w:p>
        </w:tc>
        <w:tc>
          <w:tcPr>
            <w:tcW w:w="20" w:type="dxa"/>
            <w:vAlign w:val="bottom"/>
            <w:tcBorders>
              <w:bottom w:val="single" w:sz="8" w:color="929292"/>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4"/>
                <w:szCs w:val="14"/>
                <w:color w:val="666666"/>
              </w:rPr>
              <w:t>Other comprehensive income (loss)</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40</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200</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27</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253</w:t>
            </w:r>
          </w:p>
        </w:tc>
        <w:tc>
          <w:tcPr>
            <w:tcW w:w="10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color w:val="666666"/>
              </w:rPr>
              <w:t>Total comprehensive income</w:t>
            </w: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Borders>
              <w:top w:val="single" w:sz="8" w:color="929292"/>
              <w:bottom w:val="single" w:sz="8" w:color="929292"/>
            </w:tcBorders>
          </w:tcPr>
          <w:p>
            <w:pPr>
              <w:jc w:val="right"/>
              <w:ind w:right="7"/>
              <w:spacing w:after="0"/>
              <w:rPr>
                <w:sz w:val="20"/>
                <w:szCs w:val="20"/>
                <w:color w:val="auto"/>
              </w:rPr>
            </w:pPr>
            <w:r>
              <w:rPr>
                <w:rFonts w:ascii="Times New Roman" w:cs="Times New Roman" w:eastAsia="Times New Roman" w:hAnsi="Times New Roman"/>
                <w:sz w:val="14"/>
                <w:szCs w:val="14"/>
                <w:color w:val="666666"/>
              </w:rPr>
              <w:t>3,495</w:t>
            </w:r>
          </w:p>
        </w:tc>
        <w:tc>
          <w:tcPr>
            <w:tcW w:w="100" w:type="dxa"/>
            <w:vAlign w:val="bottom"/>
            <w:tcBorders>
              <w:bottom w:val="single" w:sz="8" w:color="DDDDDD"/>
            </w:tcBorders>
          </w:tcPr>
          <w:p>
            <w:pPr>
              <w:spacing w:after="0"/>
              <w:rPr>
                <w:sz w:val="18"/>
                <w:szCs w:val="18"/>
                <w:color w:val="auto"/>
              </w:rPr>
            </w:pPr>
          </w:p>
        </w:tc>
        <w:tc>
          <w:tcPr>
            <w:tcW w:w="300" w:type="dxa"/>
            <w:vAlign w:val="bottom"/>
            <w:tcBorders>
              <w:top w:val="single" w:sz="8" w:color="929292"/>
              <w:bottom w:val="single" w:sz="8" w:color="929292"/>
            </w:tcBorders>
          </w:tcPr>
          <w:p>
            <w:pPr>
              <w:jc w:val="right"/>
              <w:ind w:right="148"/>
              <w:spacing w:after="0"/>
              <w:rPr>
                <w:sz w:val="20"/>
                <w:szCs w:val="20"/>
                <w:color w:val="auto"/>
              </w:rPr>
            </w:pPr>
            <w:r>
              <w:rPr>
                <w:rFonts w:ascii="Times New Roman" w:cs="Times New Roman" w:eastAsia="Times New Roman" w:hAnsi="Times New Roman"/>
                <w:sz w:val="14"/>
                <w:szCs w:val="14"/>
                <w:color w:val="666666"/>
                <w:w w:val="85"/>
              </w:rPr>
              <w:t>$</w:t>
            </w:r>
          </w:p>
        </w:tc>
        <w:tc>
          <w:tcPr>
            <w:tcW w:w="90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3,439</w:t>
            </w:r>
          </w:p>
        </w:tc>
        <w:tc>
          <w:tcPr>
            <w:tcW w:w="100" w:type="dxa"/>
            <w:vAlign w:val="bottom"/>
            <w:tcBorders>
              <w:bottom w:val="single" w:sz="8" w:color="DDDDDD"/>
            </w:tcBorders>
          </w:tcPr>
          <w:p>
            <w:pPr>
              <w:spacing w:after="0"/>
              <w:rPr>
                <w:sz w:val="18"/>
                <w:szCs w:val="18"/>
                <w:color w:val="auto"/>
              </w:rPr>
            </w:pPr>
          </w:p>
        </w:tc>
        <w:tc>
          <w:tcPr>
            <w:tcW w:w="1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8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2,741</w:t>
            </w:r>
          </w:p>
        </w:tc>
        <w:tc>
          <w:tcPr>
            <w:tcW w:w="100" w:type="dxa"/>
            <w:vAlign w:val="bottom"/>
            <w:tcBorders>
              <w:bottom w:val="single" w:sz="8" w:color="DDDDDD"/>
            </w:tcBorders>
          </w:tcPr>
          <w:p>
            <w:pPr>
              <w:spacing w:after="0"/>
              <w:rPr>
                <w:sz w:val="18"/>
                <w:szCs w:val="18"/>
                <w:color w:val="auto"/>
              </w:rPr>
            </w:pPr>
          </w:p>
        </w:tc>
        <w:tc>
          <w:tcPr>
            <w:tcW w:w="200" w:type="dxa"/>
            <w:vAlign w:val="bottom"/>
            <w:tcBorders>
              <w:top w:val="single" w:sz="8" w:color="929292"/>
              <w:bottom w:val="single" w:sz="8" w:color="929292"/>
            </w:tcBorders>
          </w:tcPr>
          <w:p>
            <w:pPr>
              <w:jc w:val="right"/>
              <w:ind w:right="48"/>
              <w:spacing w:after="0"/>
              <w:rPr>
                <w:sz w:val="20"/>
                <w:szCs w:val="20"/>
                <w:color w:val="auto"/>
              </w:rPr>
            </w:pPr>
            <w:r>
              <w:rPr>
                <w:rFonts w:ascii="Times New Roman" w:cs="Times New Roman" w:eastAsia="Times New Roman" w:hAnsi="Times New Roman"/>
                <w:sz w:val="14"/>
                <w:szCs w:val="14"/>
                <w:color w:val="666666"/>
                <w:w w:val="85"/>
              </w:rPr>
              <w:t>$</w:t>
            </w:r>
          </w:p>
        </w:tc>
        <w:tc>
          <w:tcPr>
            <w:tcW w:w="11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9,451</w:t>
            </w:r>
          </w:p>
        </w:tc>
        <w:tc>
          <w:tcPr>
            <w:tcW w:w="100" w:type="dxa"/>
            <w:vAlign w:val="bottom"/>
            <w:tcBorders>
              <w:bottom w:val="single" w:sz="8" w:color="DDDDDD"/>
            </w:tcBorders>
          </w:tcPr>
          <w:p>
            <w:pPr>
              <w:spacing w:after="0"/>
              <w:rPr>
                <w:sz w:val="18"/>
                <w:szCs w:val="18"/>
                <w:color w:val="auto"/>
              </w:rPr>
            </w:pPr>
          </w:p>
        </w:tc>
        <w:tc>
          <w:tcPr>
            <w:tcW w:w="28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8,865</w:t>
            </w:r>
          </w:p>
        </w:tc>
        <w:tc>
          <w:tcPr>
            <w:tcW w:w="20" w:type="dxa"/>
            <w:vAlign w:val="bottom"/>
            <w:tcBorders>
              <w:top w:val="single" w:sz="8" w:color="929292"/>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Earnings per share</w:t>
            </w: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9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14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0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80" w:type="dxa"/>
            <w:vAlign w:val="bottom"/>
            <w:tcBorders>
              <w:bottom w:val="single" w:sz="8" w:color="DDDDDD"/>
            </w:tcBorders>
            <w:shd w:val="clear" w:color="auto" w:fill="DDDDDD"/>
          </w:tcPr>
          <w:p>
            <w:pPr>
              <w:spacing w:after="0"/>
              <w:rPr>
                <w:sz w:val="15"/>
                <w:szCs w:val="15"/>
                <w:color w:val="auto"/>
              </w:rPr>
            </w:pPr>
          </w:p>
        </w:tc>
        <w:tc>
          <w:tcPr>
            <w:tcW w:w="1060" w:type="dxa"/>
            <w:vAlign w:val="bottom"/>
            <w:tcBorders>
              <w:bottom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3.23</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66666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2.42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666666"/>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8.49</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Diluted</w:t>
            </w:r>
          </w:p>
        </w:tc>
        <w:tc>
          <w:tcPr>
            <w:tcW w:w="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3.22</w:t>
            </w:r>
          </w:p>
        </w:tc>
        <w:tc>
          <w:tcPr>
            <w:tcW w:w="400" w:type="dxa"/>
            <w:vAlign w:val="bottom"/>
            <w:tcBorders>
              <w:bottom w:val="single" w:sz="8" w:color="DDDDDD"/>
            </w:tcBorders>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666666"/>
              </w:rPr>
              <w:t>$</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2.99</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2.41</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666666"/>
                <w:w w:val="85"/>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8.47</w:t>
            </w:r>
          </w:p>
        </w:tc>
        <w:tc>
          <w:tcPr>
            <w:tcW w:w="380" w:type="dxa"/>
            <w:vAlign w:val="bottom"/>
            <w:tcBorders>
              <w:bottom w:val="single" w:sz="8" w:color="DDDDDD"/>
            </w:tcBorders>
            <w:gridSpan w:val="2"/>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666666"/>
              </w:rPr>
              <w:t>Weighted-average shares outstanding</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Basic</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1,070,648,134</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1,081,771,279</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666666"/>
              </w:rPr>
              <w:t>1,123,754,096</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1,084,089,790</w:t>
            </w:r>
          </w:p>
        </w:tc>
        <w:tc>
          <w:tcPr>
            <w:tcW w:w="100" w:type="dxa"/>
            <w:vAlign w:val="bottom"/>
            <w:tcBorders>
              <w:bottom w:val="single" w:sz="8" w:color="DDDDDD"/>
            </w:tcBorders>
            <w:shd w:val="clear" w:color="auto" w:fill="DDDDDD"/>
          </w:tcPr>
          <w:p>
            <w:pPr>
              <w:spacing w:after="0"/>
              <w:rPr>
                <w:sz w:val="17"/>
                <w:szCs w:val="17"/>
                <w:color w:val="auto"/>
              </w:rPr>
            </w:pPr>
          </w:p>
        </w:tc>
        <w:tc>
          <w:tcPr>
            <w:tcW w:w="28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1,133,743,367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Diluted</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1,071,630,434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1,082,409,636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1,126,627,708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1,085,476,683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1,136,920,521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3"/>
        </w:trPr>
        <w:tc>
          <w:tcPr>
            <w:tcW w:w="45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106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-1748155</wp:posOffset>
            </wp:positionV>
            <wp:extent cx="8255"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29146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-3291205</wp:posOffset>
            </wp:positionV>
            <wp:extent cx="825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-3856990</wp:posOffset>
            </wp:positionV>
            <wp:extent cx="889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-4422775</wp:posOffset>
            </wp:positionV>
            <wp:extent cx="8255" cy="428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-5699760</wp:posOffset>
            </wp:positionV>
            <wp:extent cx="8255" cy="420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-6917055</wp:posOffset>
            </wp:positionV>
            <wp:extent cx="7140575" cy="386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566"/>
        </w:trPr>
        <w:tc>
          <w:tcPr>
            <w:tcW w:w="45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020" w:type="dxa"/>
            <w:vAlign w:val="bottom"/>
            <w:shd w:val="clear" w:color="auto" w:fill="000000"/>
          </w:tcPr>
          <w:p>
            <w:pPr>
              <w:jc w:val="right"/>
              <w:ind w:right="166"/>
              <w:spacing w:after="0"/>
              <w:rPr>
                <w:sz w:val="20"/>
                <w:szCs w:val="20"/>
                <w:color w:val="auto"/>
              </w:rPr>
            </w:pPr>
            <w:r>
              <w:rPr>
                <w:rFonts w:ascii="Arial" w:cs="Arial" w:eastAsia="Arial" w:hAnsi="Arial"/>
                <w:sz w:val="32"/>
                <w:szCs w:val="32"/>
                <w:b w:val="1"/>
                <w:bCs w:val="1"/>
                <w:color w:val="E200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8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180" w:type="dxa"/>
            <w:vAlign w:val="bottom"/>
            <w:gridSpan w:val="2"/>
            <w:shd w:val="clear" w:color="auto" w:fill="000000"/>
          </w:tcPr>
          <w:p>
            <w:pPr>
              <w:spacing w:after="0"/>
              <w:rPr>
                <w:sz w:val="9"/>
                <w:szCs w:val="9"/>
                <w:color w:val="auto"/>
              </w:rPr>
            </w:pPr>
          </w:p>
        </w:tc>
        <w:tc>
          <w:tcPr>
            <w:tcW w:w="1180" w:type="dxa"/>
            <w:vAlign w:val="bottom"/>
            <w:gridSpan w:val="2"/>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08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112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300" w:type="dxa"/>
            <w:vAlign w:val="bottom"/>
            <w:shd w:val="clear" w:color="auto" w:fill="000000"/>
          </w:tcPr>
          <w:p>
            <w:pPr>
              <w:spacing w:after="0"/>
              <w:rPr>
                <w:sz w:val="9"/>
                <w:szCs w:val="9"/>
                <w:color w:val="auto"/>
              </w:rPr>
            </w:pPr>
          </w:p>
        </w:tc>
        <w:tc>
          <w:tcPr>
            <w:tcW w:w="1020" w:type="dxa"/>
            <w:vAlign w:val="bottom"/>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666666"/>
                <w:w w:val="99"/>
              </w:rPr>
              <w:t>T-Mobile US, Inc.</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gridSpan w:val="9"/>
          </w:tcPr>
          <w:p>
            <w:pPr>
              <w:jc w:val="center"/>
              <w:ind w:left="2808"/>
              <w:spacing w:after="0"/>
              <w:rPr>
                <w:sz w:val="20"/>
                <w:szCs w:val="20"/>
                <w:color w:val="auto"/>
              </w:rPr>
            </w:pPr>
            <w:r>
              <w:rPr>
                <w:rFonts w:ascii="Arial" w:cs="Arial" w:eastAsia="Arial" w:hAnsi="Arial"/>
                <w:sz w:val="18"/>
                <w:szCs w:val="18"/>
                <w:b w:val="1"/>
                <w:bCs w:val="1"/>
                <w:color w:val="666666"/>
                <w:w w:val="99"/>
              </w:rPr>
              <w:t>Condensed Consolidated Statements of Cash Flows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center"/>
              <w:ind w:left="287"/>
              <w:spacing w:after="0"/>
              <w:rPr>
                <w:sz w:val="20"/>
                <w:szCs w:val="20"/>
                <w:color w:val="auto"/>
              </w:rPr>
            </w:pPr>
            <w:r>
              <w:rPr>
                <w:rFonts w:ascii="Arial" w:cs="Arial" w:eastAsia="Arial" w:hAnsi="Arial"/>
                <w:sz w:val="18"/>
                <w:szCs w:val="18"/>
                <w:b w:val="1"/>
                <w:bCs w:val="1"/>
                <w:color w:val="666666"/>
                <w:w w:val="99"/>
              </w:rPr>
              <w:t>(Unaudited)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spacing w:after="0"/>
              <w:rPr>
                <w:sz w:val="22"/>
                <w:szCs w:val="22"/>
                <w:color w:val="auto"/>
              </w:rPr>
            </w:pPr>
          </w:p>
        </w:tc>
        <w:tc>
          <w:tcPr>
            <w:tcW w:w="13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spacing w:after="0"/>
              <w:rPr>
                <w:sz w:val="18"/>
                <w:szCs w:val="18"/>
                <w:color w:val="auto"/>
              </w:rPr>
            </w:pPr>
          </w:p>
        </w:tc>
        <w:tc>
          <w:tcPr>
            <w:tcW w:w="1400" w:type="dxa"/>
            <w:vAlign w:val="bottom"/>
            <w:tcBorders>
              <w:bottom w:val="single" w:sz="8" w:color="E20074"/>
            </w:tcBorders>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2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2560" w:type="dxa"/>
            <w:vAlign w:val="bottom"/>
            <w:tcBorders>
              <w:bottom w:val="single" w:sz="8" w:color="E20074"/>
            </w:tcBorders>
            <w:gridSpan w:val="4"/>
            <w:shd w:val="clear" w:color="auto" w:fill="E20074"/>
          </w:tcPr>
          <w:p>
            <w:pPr>
              <w:jc w:val="right"/>
              <w:ind w:right="226"/>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w:t>
            </w:r>
          </w:p>
        </w:tc>
        <w:tc>
          <w:tcPr>
            <w:tcW w:w="120" w:type="dxa"/>
            <w:vAlign w:val="bottom"/>
            <w:shd w:val="clear" w:color="auto" w:fill="E20074"/>
          </w:tcPr>
          <w:p>
            <w:pPr>
              <w:spacing w:after="0"/>
              <w:rPr>
                <w:sz w:val="14"/>
                <w:szCs w:val="14"/>
                <w:color w:val="auto"/>
              </w:rPr>
            </w:pPr>
          </w:p>
        </w:tc>
        <w:tc>
          <w:tcPr>
            <w:tcW w:w="1080" w:type="dxa"/>
            <w:vAlign w:val="bottom"/>
            <w:shd w:val="clear" w:color="auto" w:fill="E20074"/>
          </w:tcPr>
          <w:p>
            <w:pPr>
              <w:jc w:val="right"/>
              <w:ind w:right="87"/>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300" w:type="dxa"/>
            <w:vAlign w:val="bottom"/>
            <w:shd w:val="clear" w:color="auto" w:fill="E20074"/>
          </w:tcPr>
          <w:p>
            <w:pPr>
              <w:spacing w:after="0"/>
              <w:rPr>
                <w:sz w:val="14"/>
                <w:szCs w:val="14"/>
                <w:color w:val="auto"/>
              </w:rPr>
            </w:pPr>
          </w:p>
        </w:tc>
        <w:tc>
          <w:tcPr>
            <w:tcW w:w="880" w:type="dxa"/>
            <w:vAlign w:val="bottom"/>
            <w:shd w:val="clear" w:color="auto" w:fill="E20074"/>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rPr>
              <w:t>June 30,</w:t>
            </w:r>
          </w:p>
        </w:tc>
        <w:tc>
          <w:tcPr>
            <w:tcW w:w="12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080" w:type="dxa"/>
            <w:vAlign w:val="bottom"/>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120" w:type="dxa"/>
            <w:vAlign w:val="bottom"/>
            <w:vMerge w:val="restart"/>
            <w:shd w:val="clear" w:color="auto" w:fill="E20074"/>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4"/>
                <w:szCs w:val="14"/>
                <w:color w:val="auto"/>
              </w:rPr>
            </w:pPr>
          </w:p>
        </w:tc>
        <w:tc>
          <w:tcPr>
            <w:tcW w:w="300" w:type="dxa"/>
            <w:vAlign w:val="bottom"/>
            <w:shd w:val="clear" w:color="auto" w:fill="E20074"/>
          </w:tcPr>
          <w:p>
            <w:pPr>
              <w:spacing w:after="0"/>
              <w:rPr>
                <w:sz w:val="14"/>
                <w:szCs w:val="14"/>
                <w:color w:val="auto"/>
              </w:rPr>
            </w:pPr>
          </w:p>
        </w:tc>
        <w:tc>
          <w:tcPr>
            <w:tcW w:w="1020" w:type="dxa"/>
            <w:vAlign w:val="bottom"/>
            <w:vMerge w:val="restart"/>
            <w:shd w:val="clear" w:color="auto" w:fill="E20074"/>
          </w:tcPr>
          <w:p>
            <w:pPr>
              <w:jc w:val="right"/>
              <w:ind w:right="446"/>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80" w:type="dxa"/>
            <w:vAlign w:val="bottom"/>
            <w:vMerge w:val="continue"/>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80" w:type="dxa"/>
            <w:vAlign w:val="bottom"/>
            <w:shd w:val="clear" w:color="auto" w:fill="E20074"/>
          </w:tcPr>
          <w:p>
            <w:pPr>
              <w:jc w:val="right"/>
              <w:ind w:right="387"/>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300" w:type="dxa"/>
            <w:vAlign w:val="bottom"/>
            <w:shd w:val="clear" w:color="auto" w:fill="E20074"/>
          </w:tcPr>
          <w:p>
            <w:pPr>
              <w:spacing w:after="0"/>
              <w:rPr>
                <w:sz w:val="17"/>
                <w:szCs w:val="17"/>
                <w:color w:val="auto"/>
              </w:rPr>
            </w:pPr>
          </w:p>
        </w:tc>
        <w:tc>
          <w:tcPr>
            <w:tcW w:w="880" w:type="dxa"/>
            <w:vAlign w:val="bottom"/>
            <w:shd w:val="clear" w:color="auto" w:fill="E20074"/>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w w:val="99"/>
              </w:rPr>
              <w:t>2026</w:t>
            </w:r>
          </w:p>
        </w:tc>
        <w:tc>
          <w:tcPr>
            <w:tcW w:w="12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80" w:type="dxa"/>
            <w:vAlign w:val="bottom"/>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120" w:type="dxa"/>
            <w:vAlign w:val="bottom"/>
            <w:vMerge w:val="continue"/>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shd w:val="clear" w:color="auto" w:fill="E20074"/>
          </w:tcPr>
          <w:p>
            <w:pPr>
              <w:spacing w:after="0"/>
              <w:rPr>
                <w:sz w:val="17"/>
                <w:szCs w:val="17"/>
                <w:color w:val="auto"/>
              </w:rPr>
            </w:pPr>
          </w:p>
        </w:tc>
        <w:tc>
          <w:tcPr>
            <w:tcW w:w="1020" w:type="dxa"/>
            <w:vAlign w:val="bottom"/>
            <w:vMerge w:val="continue"/>
            <w:shd w:val="clear" w:color="auto" w:fill="E2007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Operating activities</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02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3,455</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666666"/>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3,239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2,714</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9,198</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66666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8,889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580" w:type="dxa"/>
            <w:vAlign w:val="bottom"/>
            <w:shd w:val="clear" w:color="auto" w:fill="DDDDDD"/>
          </w:tcPr>
          <w:p>
            <w:pPr>
              <w:ind w:left="20"/>
              <w:spacing w:after="0" w:line="153" w:lineRule="exact"/>
              <w:rPr>
                <w:sz w:val="20"/>
                <w:szCs w:val="20"/>
                <w:color w:val="auto"/>
              </w:rPr>
            </w:pPr>
            <w:r>
              <w:rPr>
                <w:rFonts w:ascii="Times New Roman" w:cs="Times New Roman" w:eastAsia="Times New Roman" w:hAnsi="Times New Roman"/>
                <w:sz w:val="14"/>
                <w:szCs w:val="14"/>
                <w:color w:val="666666"/>
              </w:rPr>
              <w:t>Adjustments to reconcile net income to net cash provided by operating</w:t>
            </w:r>
          </w:p>
        </w:tc>
        <w:tc>
          <w:tcPr>
            <w:tcW w:w="12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8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12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activities</w:t>
            </w:r>
          </w:p>
        </w:tc>
        <w:tc>
          <w:tcPr>
            <w:tcW w:w="12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Depreciation and amortization</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3,452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10,703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9,752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666666"/>
              </w:rPr>
              <w:t>Stock-based compensation expense</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197</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214</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227</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620</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Deferred income tax expense</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637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2,212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2,505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666666"/>
              </w:rPr>
              <w:t>Bad debt expense</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437</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398</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337</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1,261</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Losses from sales of receivables</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666666"/>
              </w:rPr>
              <w:t>Impairment expense</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00" w:type="dxa"/>
            <w:vAlign w:val="bottom"/>
            <w:tcBorders>
              <w:bottom w:val="single" w:sz="8" w:color="DDDDDD"/>
            </w:tcBorders>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278</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Changes in operating assets and 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666666"/>
              </w:rPr>
              <w:t>Accounts receivable</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(498)</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(366)</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(669)</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480"/>
              <w:spacing w:after="0"/>
              <w:rPr>
                <w:sz w:val="20"/>
                <w:szCs w:val="20"/>
                <w:color w:val="auto"/>
              </w:rPr>
            </w:pPr>
            <w:r>
              <w:rPr>
                <w:rFonts w:ascii="Times New Roman" w:cs="Times New Roman" w:eastAsia="Times New Roman" w:hAnsi="Times New Roman"/>
                <w:sz w:val="14"/>
                <w:szCs w:val="14"/>
                <w:color w:val="666666"/>
              </w:rPr>
              <w:t>Equipment installment plan receivables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666666"/>
              </w:rPr>
              <w:t>Inventory</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(892)</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142</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(537)</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(664)</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480"/>
              <w:spacing w:after="0"/>
              <w:rPr>
                <w:sz w:val="20"/>
                <w:szCs w:val="20"/>
                <w:color w:val="auto"/>
              </w:rPr>
            </w:pPr>
            <w:r>
              <w:rPr>
                <w:rFonts w:ascii="Times New Roman" w:cs="Times New Roman" w:eastAsia="Times New Roman" w:hAnsi="Times New Roman"/>
                <w:sz w:val="14"/>
                <w:szCs w:val="14"/>
                <w:color w:val="666666"/>
              </w:rPr>
              <w:t>Operating lease right-of-use assets</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969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3,130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666666"/>
              </w:rPr>
              <w:t>Other current and long-term assets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(122)</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(354)</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(322)</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(443)</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480"/>
              <w:spacing w:after="0"/>
              <w:rPr>
                <w:sz w:val="20"/>
                <w:szCs w:val="20"/>
                <w:color w:val="auto"/>
              </w:rPr>
            </w:pPr>
            <w:r>
              <w:rPr>
                <w:rFonts w:ascii="Times New Roman" w:cs="Times New Roman" w:eastAsia="Times New Roman" w:hAnsi="Times New Roman"/>
                <w:sz w:val="14"/>
                <w:szCs w:val="14"/>
                <w:color w:val="666666"/>
              </w:rPr>
              <w:t>Accounts payable and accrued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666666"/>
              </w:rPr>
              <w:t>Short- and long-term operating lease liabilities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(979)</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(976)</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(936)</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(3,173)</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480"/>
              <w:spacing w:after="0"/>
              <w:rPr>
                <w:sz w:val="20"/>
                <w:szCs w:val="20"/>
                <w:color w:val="auto"/>
              </w:rPr>
            </w:pPr>
            <w:r>
              <w:rPr>
                <w:rFonts w:ascii="Times New Roman" w:cs="Times New Roman" w:eastAsia="Times New Roman" w:hAnsi="Times New Roman"/>
                <w:sz w:val="14"/>
                <w:szCs w:val="14"/>
                <w:color w:val="666666"/>
              </w:rPr>
              <w:t>Other current and long-term liabilities</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334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666666"/>
              </w:rPr>
              <w:t>Other, net</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277</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191</w:t>
            </w: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216</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669</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Net cash provided by operating activities</w:t>
            </w: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4"/>
                <w:szCs w:val="14"/>
                <w:color w:val="666666"/>
              </w:rPr>
              <w:t>7,341</w:t>
            </w:r>
          </w:p>
        </w:tc>
        <w:tc>
          <w:tcPr>
            <w:tcW w:w="10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8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7,500</w:t>
            </w:r>
          </w:p>
        </w:tc>
        <w:tc>
          <w:tcPr>
            <w:tcW w:w="120" w:type="dxa"/>
            <w:vAlign w:val="bottom"/>
          </w:tcPr>
          <w:p>
            <w:pPr>
              <w:spacing w:after="0"/>
              <w:rPr>
                <w:sz w:val="16"/>
                <w:szCs w:val="16"/>
                <w:color w:val="auto"/>
              </w:rPr>
            </w:pP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7,457</w:t>
            </w:r>
          </w:p>
        </w:tc>
        <w:tc>
          <w:tcPr>
            <w:tcW w:w="100" w:type="dxa"/>
            <w:vAlign w:val="bottom"/>
          </w:tcPr>
          <w:p>
            <w:pPr>
              <w:spacing w:after="0"/>
              <w:rPr>
                <w:sz w:val="16"/>
                <w:szCs w:val="16"/>
                <w:color w:val="auto"/>
              </w:rPr>
            </w:pPr>
          </w:p>
        </w:tc>
        <w:tc>
          <w:tcPr>
            <w:tcW w:w="200" w:type="dxa"/>
            <w:vAlign w:val="bottom"/>
            <w:tcBorders>
              <w:top w:val="single" w:sz="8" w:color="929292"/>
            </w:tcBorders>
          </w:tcPr>
          <w:p>
            <w:pPr>
              <w:spacing w:after="0"/>
              <w:rPr>
                <w:sz w:val="16"/>
                <w:szCs w:val="16"/>
                <w:color w:val="auto"/>
              </w:rPr>
            </w:pPr>
          </w:p>
        </w:tc>
        <w:tc>
          <w:tcPr>
            <w:tcW w:w="11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22,063</w:t>
            </w:r>
          </w:p>
        </w:tc>
        <w:tc>
          <w:tcPr>
            <w:tcW w:w="12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10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21,296</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Investing activities</w:t>
            </w: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88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0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1020" w:type="dxa"/>
            <w:vAlign w:val="bottom"/>
            <w:tcBorders>
              <w:bottom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666666"/>
              </w:rPr>
              <w:t>Purchases of property and equipment, including capitalized interest of $(7),</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(2,270)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(2,703)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(2,639)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(7,596)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(7,486)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$(6), $(13), $(20) and $(33)</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Purchases of spectrum licenses and other intangible assets, including deposits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(324)</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(484)</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(1,590)</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(834)</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Proceeds from the sale of property, equipment and intangible assets</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2,927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3,038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2,091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Acquisition of companies, net of cash acquired</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00" w:type="dxa"/>
            <w:vAlign w:val="bottom"/>
            <w:tcBorders>
              <w:bottom w:val="single" w:sz="8" w:color="DDDDDD"/>
            </w:tcBorders>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(2,797)</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Investments in unconsolidated affiliates, net</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(3,072)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Other, net</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21</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122</w:t>
            </w: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(59)</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(151)</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Net cash provided by (used in) investing activities</w:t>
            </w: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4"/>
                <w:szCs w:val="14"/>
                <w:color w:val="666666"/>
              </w:rPr>
              <w:t>358</w:t>
            </w:r>
          </w:p>
        </w:tc>
        <w:tc>
          <w:tcPr>
            <w:tcW w:w="10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8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(3,052)</w:t>
            </w:r>
          </w:p>
        </w:tc>
        <w:tc>
          <w:tcPr>
            <w:tcW w:w="120" w:type="dxa"/>
            <w:vAlign w:val="bottom"/>
          </w:tcPr>
          <w:p>
            <w:pPr>
              <w:spacing w:after="0"/>
              <w:rPr>
                <w:sz w:val="16"/>
                <w:szCs w:val="16"/>
                <w:color w:val="auto"/>
              </w:rPr>
            </w:pPr>
          </w:p>
        </w:tc>
        <w:tc>
          <w:tcPr>
            <w:tcW w:w="120" w:type="dxa"/>
            <w:vAlign w:val="bottom"/>
            <w:tcBorders>
              <w:top w:val="single" w:sz="8" w:color="929292"/>
            </w:tcBorders>
          </w:tcPr>
          <w:p>
            <w:pPr>
              <w:spacing w:after="0"/>
              <w:rPr>
                <w:sz w:val="16"/>
                <w:szCs w:val="16"/>
                <w:color w:val="auto"/>
              </w:rPr>
            </w:pPr>
          </w:p>
        </w:tc>
        <w:tc>
          <w:tcPr>
            <w:tcW w:w="10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(10,139)</w:t>
            </w:r>
          </w:p>
        </w:tc>
        <w:tc>
          <w:tcPr>
            <w:tcW w:w="100" w:type="dxa"/>
            <w:vAlign w:val="bottom"/>
          </w:tcPr>
          <w:p>
            <w:pPr>
              <w:spacing w:after="0"/>
              <w:rPr>
                <w:sz w:val="16"/>
                <w:szCs w:val="16"/>
                <w:color w:val="auto"/>
              </w:rPr>
            </w:pPr>
          </w:p>
        </w:tc>
        <w:tc>
          <w:tcPr>
            <w:tcW w:w="200" w:type="dxa"/>
            <w:vAlign w:val="bottom"/>
            <w:tcBorders>
              <w:top w:val="single" w:sz="8" w:color="929292"/>
            </w:tcBorders>
          </w:tcPr>
          <w:p>
            <w:pPr>
              <w:spacing w:after="0"/>
              <w:rPr>
                <w:sz w:val="16"/>
                <w:szCs w:val="16"/>
                <w:color w:val="auto"/>
              </w:rPr>
            </w:pPr>
          </w:p>
        </w:tc>
        <w:tc>
          <w:tcPr>
            <w:tcW w:w="11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(5,543)</w:t>
            </w:r>
          </w:p>
        </w:tc>
        <w:tc>
          <w:tcPr>
            <w:tcW w:w="120" w:type="dxa"/>
            <w:vAlign w:val="bottom"/>
          </w:tcPr>
          <w:p>
            <w:pPr>
              <w:spacing w:after="0"/>
              <w:rPr>
                <w:sz w:val="16"/>
                <w:szCs w:val="16"/>
                <w:color w:val="auto"/>
              </w:rPr>
            </w:pPr>
          </w:p>
        </w:tc>
        <w:tc>
          <w:tcPr>
            <w:tcW w:w="300" w:type="dxa"/>
            <w:vAlign w:val="bottom"/>
            <w:tcBorders>
              <w:top w:val="single" w:sz="8" w:color="929292"/>
            </w:tcBorders>
          </w:tcPr>
          <w:p>
            <w:pPr>
              <w:spacing w:after="0"/>
              <w:rPr>
                <w:sz w:val="16"/>
                <w:szCs w:val="16"/>
                <w:color w:val="auto"/>
              </w:rPr>
            </w:pPr>
          </w:p>
        </w:tc>
        <w:tc>
          <w:tcPr>
            <w:tcW w:w="10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(15,107)</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Financing activities</w:t>
            </w: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88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10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0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1020" w:type="dxa"/>
            <w:vAlign w:val="bottom"/>
            <w:tcBorders>
              <w:bottom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Proceeds from issuance of long-term debt, net</w:t>
            </w:r>
          </w:p>
        </w:tc>
        <w:tc>
          <w:tcPr>
            <w:tcW w:w="1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666666"/>
              </w:rPr>
              <w:t>498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6,891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Repayments of financing lease obligations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(331)</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(360)</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(318)</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(995)</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Repayments of long-term debt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(1,367)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(1,336)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(9,138)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(4,564)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Repurchases of common stock</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(2,418)</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(2,320)</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(2,479)</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(9,564)</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Dividends on common stock</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(3,310)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(2,986)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Tax withholdings on share-based awards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(86)</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(31)</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(92)</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(271)</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Other,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666666"/>
              </w:rPr>
              <w:t>Net cash used in financing activities</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16161"/>
              </w:rPr>
              <w:t>(4,848)</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16161"/>
              </w:rPr>
              <w:t>(5,182)</w:t>
            </w: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16161"/>
              </w:rPr>
              <w:t>(4,238)</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16161"/>
              </w:rPr>
              <w:t>(16,470)</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580" w:type="dxa"/>
            <w:vAlign w:val="bottom"/>
          </w:tcPr>
          <w:p>
            <w:pPr>
              <w:ind w:left="220"/>
              <w:spacing w:after="0" w:line="133" w:lineRule="exact"/>
              <w:rPr>
                <w:sz w:val="20"/>
                <w:szCs w:val="20"/>
                <w:color w:val="auto"/>
              </w:rPr>
            </w:pPr>
            <w:r>
              <w:rPr>
                <w:rFonts w:ascii="Times New Roman" w:cs="Times New Roman" w:eastAsia="Times New Roman" w:hAnsi="Times New Roman"/>
                <w:sz w:val="14"/>
                <w:szCs w:val="14"/>
                <w:color w:val="666666"/>
              </w:rPr>
              <w:t>Effect of exchange rate changes on cash and cash equivalents, including</w:t>
            </w:r>
          </w:p>
        </w:tc>
        <w:tc>
          <w:tcPr>
            <w:tcW w:w="120" w:type="dxa"/>
            <w:vAlign w:val="bottom"/>
            <w:tcBorders>
              <w:top w:val="single" w:sz="8" w:color="929292"/>
            </w:tcBorders>
          </w:tcPr>
          <w:p>
            <w:pPr>
              <w:spacing w:after="0"/>
              <w:rPr>
                <w:sz w:val="11"/>
                <w:szCs w:val="11"/>
                <w:color w:val="auto"/>
              </w:rPr>
            </w:pPr>
          </w:p>
        </w:tc>
        <w:tc>
          <w:tcPr>
            <w:tcW w:w="1080" w:type="dxa"/>
            <w:vAlign w:val="bottom"/>
            <w:tcBorders>
              <w:top w:val="single" w:sz="8" w:color="929292"/>
            </w:tcBorders>
            <w:vMerge w:val="restart"/>
          </w:tcPr>
          <w:p>
            <w:pPr>
              <w:jc w:val="right"/>
              <w:ind w:right="7"/>
              <w:spacing w:after="0"/>
              <w:rPr>
                <w:sz w:val="20"/>
                <w:szCs w:val="20"/>
                <w:color w:val="auto"/>
              </w:rPr>
            </w:pPr>
            <w:r>
              <w:rPr>
                <w:rFonts w:ascii="Times New Roman" w:cs="Times New Roman" w:eastAsia="Times New Roman" w:hAnsi="Times New Roman"/>
                <w:sz w:val="14"/>
                <w:szCs w:val="14"/>
                <w:color w:val="616161"/>
              </w:rPr>
              <w:t>—</w:t>
            </w:r>
          </w:p>
        </w:tc>
        <w:tc>
          <w:tcPr>
            <w:tcW w:w="100" w:type="dxa"/>
            <w:vAlign w:val="bottom"/>
          </w:tcPr>
          <w:p>
            <w:pPr>
              <w:spacing w:after="0"/>
              <w:rPr>
                <w:sz w:val="11"/>
                <w:szCs w:val="11"/>
                <w:color w:val="auto"/>
              </w:rPr>
            </w:pPr>
          </w:p>
        </w:tc>
        <w:tc>
          <w:tcPr>
            <w:tcW w:w="300" w:type="dxa"/>
            <w:vAlign w:val="bottom"/>
            <w:tcBorders>
              <w:top w:val="single" w:sz="8" w:color="929292"/>
            </w:tcBorders>
          </w:tcPr>
          <w:p>
            <w:pPr>
              <w:spacing w:after="0"/>
              <w:rPr>
                <w:sz w:val="11"/>
                <w:szCs w:val="11"/>
                <w:color w:val="auto"/>
              </w:rPr>
            </w:pPr>
          </w:p>
        </w:tc>
        <w:tc>
          <w:tcPr>
            <w:tcW w:w="88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tcPr>
          <w:p>
            <w:pPr>
              <w:spacing w:after="0"/>
              <w:rPr>
                <w:sz w:val="11"/>
                <w:szCs w:val="11"/>
                <w:color w:val="auto"/>
              </w:rPr>
            </w:pPr>
          </w:p>
        </w:tc>
        <w:tc>
          <w:tcPr>
            <w:tcW w:w="108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100" w:type="dxa"/>
            <w:vAlign w:val="bottom"/>
          </w:tcPr>
          <w:p>
            <w:pPr>
              <w:spacing w:after="0"/>
              <w:rPr>
                <w:sz w:val="11"/>
                <w:szCs w:val="11"/>
                <w:color w:val="auto"/>
              </w:rPr>
            </w:pPr>
          </w:p>
        </w:tc>
        <w:tc>
          <w:tcPr>
            <w:tcW w:w="200" w:type="dxa"/>
            <w:vAlign w:val="bottom"/>
            <w:tcBorders>
              <w:top w:val="single" w:sz="8" w:color="929292"/>
            </w:tcBorders>
          </w:tcPr>
          <w:p>
            <w:pPr>
              <w:spacing w:after="0"/>
              <w:rPr>
                <w:sz w:val="11"/>
                <w:szCs w:val="11"/>
                <w:color w:val="auto"/>
              </w:rPr>
            </w:pPr>
          </w:p>
        </w:tc>
        <w:tc>
          <w:tcPr>
            <w:tcW w:w="1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120" w:type="dxa"/>
            <w:vAlign w:val="bottom"/>
          </w:tcPr>
          <w:p>
            <w:pPr>
              <w:spacing w:after="0"/>
              <w:rPr>
                <w:sz w:val="11"/>
                <w:szCs w:val="11"/>
                <w:color w:val="auto"/>
              </w:rPr>
            </w:pPr>
          </w:p>
        </w:tc>
        <w:tc>
          <w:tcPr>
            <w:tcW w:w="300" w:type="dxa"/>
            <w:vAlign w:val="bottom"/>
            <w:tcBorders>
              <w:top w:val="single" w:sz="8" w:color="929292"/>
            </w:tcBorders>
          </w:tcPr>
          <w:p>
            <w:pPr>
              <w:spacing w:after="0"/>
              <w:rPr>
                <w:sz w:val="11"/>
                <w:szCs w:val="11"/>
                <w:color w:val="auto"/>
              </w:rPr>
            </w:pPr>
          </w:p>
        </w:tc>
        <w:tc>
          <w:tcPr>
            <w:tcW w:w="10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13</w:t>
            </w:r>
          </w:p>
        </w:tc>
        <w:tc>
          <w:tcPr>
            <w:tcW w:w="20" w:type="dxa"/>
            <w:vAlign w:val="bottom"/>
            <w:tcBorders>
              <w:top w:val="single" w:sz="8" w:color="929292"/>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restricted cash</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666666"/>
              </w:rPr>
              <w:t>Change in cash and cash equivalents, including restricted cash</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2,851</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(734)</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(6,920)</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50</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666666"/>
              </w:rPr>
              <w:t>Cash and cash equivalents, including restricted cash</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Beginning of period</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ind w:right="7"/>
              <w:spacing w:after="0"/>
              <w:rPr>
                <w:sz w:val="20"/>
                <w:szCs w:val="20"/>
                <w:color w:val="auto"/>
              </w:rPr>
            </w:pPr>
            <w:r>
              <w:rPr>
                <w:rFonts w:ascii="Times New Roman" w:cs="Times New Roman" w:eastAsia="Times New Roman" w:hAnsi="Times New Roman"/>
                <w:sz w:val="14"/>
                <w:szCs w:val="14"/>
                <w:color w:val="666666"/>
              </w:rPr>
              <w:t>3,175</w:t>
            </w: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3,909</w:t>
            </w: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10,585</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5,976</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End of period</w:t>
            </w:r>
          </w:p>
        </w:tc>
        <w:tc>
          <w:tcPr>
            <w:tcW w:w="1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4"/>
                <w:szCs w:val="14"/>
                <w:color w:val="666666"/>
              </w:rPr>
              <w:t>6,026</w:t>
            </w:r>
          </w:p>
        </w:tc>
        <w:tc>
          <w:tcPr>
            <w:tcW w:w="100" w:type="dxa"/>
            <w:vAlign w:val="bottom"/>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Times New Roman" w:cs="Times New Roman" w:eastAsia="Times New Roman" w:hAnsi="Times New Roman"/>
                <w:sz w:val="14"/>
                <w:szCs w:val="14"/>
                <w:color w:val="666666"/>
              </w:rPr>
              <w:t>$</w:t>
            </w:r>
          </w:p>
        </w:tc>
        <w:tc>
          <w:tcPr>
            <w:tcW w:w="8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3,175</w:t>
            </w:r>
          </w:p>
        </w:tc>
        <w:tc>
          <w:tcPr>
            <w:tcW w:w="120" w:type="dxa"/>
            <w:vAlign w:val="bottom"/>
          </w:tcPr>
          <w:p>
            <w:pPr>
              <w:spacing w:after="0"/>
              <w:rPr>
                <w:sz w:val="16"/>
                <w:szCs w:val="16"/>
                <w:color w:val="auto"/>
              </w:rPr>
            </w:pPr>
          </w:p>
        </w:tc>
        <w:tc>
          <w:tcPr>
            <w:tcW w:w="1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3,665</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11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6,026</w:t>
            </w:r>
          </w:p>
        </w:tc>
        <w:tc>
          <w:tcPr>
            <w:tcW w:w="120" w:type="dxa"/>
            <w:vAlign w:val="bottom"/>
          </w:tcPr>
          <w:p>
            <w:pPr>
              <w:spacing w:after="0"/>
              <w:rPr>
                <w:sz w:val="16"/>
                <w:szCs w:val="16"/>
                <w:color w:val="auto"/>
              </w:rPr>
            </w:pPr>
          </w:p>
        </w:tc>
        <w:tc>
          <w:tcPr>
            <w:tcW w:w="300" w:type="dxa"/>
            <w:vAlign w:val="bottom"/>
            <w:tcBorders>
              <w:top w:val="single" w:sz="8" w:color="929292"/>
            </w:tcBorders>
          </w:tcPr>
          <w:p>
            <w:pPr>
              <w:jc w:val="right"/>
              <w:ind w:right="148"/>
              <w:spacing w:after="0"/>
              <w:rPr>
                <w:sz w:val="20"/>
                <w:szCs w:val="20"/>
                <w:color w:val="auto"/>
              </w:rPr>
            </w:pPr>
            <w:r>
              <w:rPr>
                <w:rFonts w:ascii="Times New Roman" w:cs="Times New Roman" w:eastAsia="Times New Roman" w:hAnsi="Times New Roman"/>
                <w:sz w:val="14"/>
                <w:szCs w:val="14"/>
                <w:color w:val="666666"/>
                <w:w w:val="85"/>
              </w:rPr>
              <w:t>$</w:t>
            </w:r>
          </w:p>
        </w:tc>
        <w:tc>
          <w:tcPr>
            <w:tcW w:w="10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3,665</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45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0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-916305</wp:posOffset>
            </wp:positionV>
            <wp:extent cx="825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-1559560</wp:posOffset>
            </wp:positionV>
            <wp:extent cx="825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-2939415</wp:posOffset>
            </wp:positionV>
            <wp:extent cx="8890" cy="420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-4131310</wp:posOffset>
            </wp:positionV>
            <wp:extent cx="8890" cy="419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-7071995</wp:posOffset>
            </wp:positionV>
            <wp:extent cx="7140575" cy="386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566"/>
        </w:trPr>
        <w:tc>
          <w:tcPr>
            <w:tcW w:w="45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020" w:type="dxa"/>
            <w:vAlign w:val="bottom"/>
            <w:shd w:val="clear" w:color="auto" w:fill="000000"/>
          </w:tcPr>
          <w:p>
            <w:pPr>
              <w:jc w:val="right"/>
              <w:ind w:right="158"/>
              <w:spacing w:after="0"/>
              <w:rPr>
                <w:sz w:val="20"/>
                <w:szCs w:val="20"/>
                <w:color w:val="auto"/>
              </w:rPr>
            </w:pPr>
            <w:r>
              <w:rPr>
                <w:rFonts w:ascii="Arial" w:cs="Arial" w:eastAsia="Arial" w:hAnsi="Arial"/>
                <w:sz w:val="32"/>
                <w:szCs w:val="32"/>
                <w:b w:val="1"/>
                <w:bCs w:val="1"/>
                <w:color w:val="E20074"/>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8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180" w:type="dxa"/>
            <w:vAlign w:val="bottom"/>
            <w:gridSpan w:val="2"/>
            <w:shd w:val="clear" w:color="auto" w:fill="000000"/>
          </w:tcPr>
          <w:p>
            <w:pPr>
              <w:spacing w:after="0"/>
              <w:rPr>
                <w:sz w:val="9"/>
                <w:szCs w:val="9"/>
                <w:color w:val="auto"/>
              </w:rPr>
            </w:pPr>
          </w:p>
        </w:tc>
        <w:tc>
          <w:tcPr>
            <w:tcW w:w="1180" w:type="dxa"/>
            <w:vAlign w:val="bottom"/>
            <w:gridSpan w:val="2"/>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08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112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300" w:type="dxa"/>
            <w:vAlign w:val="bottom"/>
            <w:shd w:val="clear" w:color="auto" w:fill="000000"/>
          </w:tcPr>
          <w:p>
            <w:pPr>
              <w:spacing w:after="0"/>
              <w:rPr>
                <w:sz w:val="9"/>
                <w:szCs w:val="9"/>
                <w:color w:val="auto"/>
              </w:rPr>
            </w:pPr>
          </w:p>
        </w:tc>
        <w:tc>
          <w:tcPr>
            <w:tcW w:w="1020" w:type="dxa"/>
            <w:vAlign w:val="bottom"/>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666666"/>
                <w:w w:val="99"/>
              </w:rPr>
              <w:t>T-Mobile US, Inc.</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gridSpan w:val="9"/>
          </w:tcPr>
          <w:p>
            <w:pPr>
              <w:jc w:val="center"/>
              <w:ind w:left="2807"/>
              <w:spacing w:after="0"/>
              <w:rPr>
                <w:sz w:val="20"/>
                <w:szCs w:val="20"/>
                <w:color w:val="auto"/>
              </w:rPr>
            </w:pPr>
            <w:r>
              <w:rPr>
                <w:rFonts w:ascii="Arial" w:cs="Arial" w:eastAsia="Arial" w:hAnsi="Arial"/>
                <w:sz w:val="18"/>
                <w:szCs w:val="18"/>
                <w:b w:val="1"/>
                <w:bCs w:val="1"/>
                <w:color w:val="666666"/>
                <w:w w:val="99"/>
              </w:rPr>
              <w:t>Condensed Consolidated Statements of Cash Flows (Continued)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center"/>
              <w:ind w:left="285"/>
              <w:spacing w:after="0"/>
              <w:rPr>
                <w:sz w:val="20"/>
                <w:szCs w:val="20"/>
                <w:color w:val="auto"/>
              </w:rPr>
            </w:pPr>
            <w:r>
              <w:rPr>
                <w:rFonts w:ascii="Arial" w:cs="Arial" w:eastAsia="Arial" w:hAnsi="Arial"/>
                <w:sz w:val="18"/>
                <w:szCs w:val="18"/>
                <w:b w:val="1"/>
                <w:bCs w:val="1"/>
                <w:color w:val="666666"/>
                <w:w w:val="99"/>
              </w:rPr>
              <w:t>(Unaudited)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3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spacing w:after="0"/>
              <w:rPr>
                <w:sz w:val="18"/>
                <w:szCs w:val="18"/>
                <w:color w:val="auto"/>
              </w:rPr>
            </w:pPr>
          </w:p>
        </w:tc>
        <w:tc>
          <w:tcPr>
            <w:tcW w:w="1400" w:type="dxa"/>
            <w:vAlign w:val="bottom"/>
            <w:tcBorders>
              <w:bottom w:val="single" w:sz="8" w:color="E20074"/>
            </w:tcBorders>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2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2560" w:type="dxa"/>
            <w:vAlign w:val="bottom"/>
            <w:tcBorders>
              <w:bottom w:val="single" w:sz="8" w:color="E20074"/>
            </w:tcBorders>
            <w:gridSpan w:val="4"/>
            <w:shd w:val="clear" w:color="auto" w:fill="E20074"/>
          </w:tcPr>
          <w:p>
            <w:pPr>
              <w:jc w:val="right"/>
              <w:ind w:right="21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w:t>
            </w:r>
          </w:p>
        </w:tc>
        <w:tc>
          <w:tcPr>
            <w:tcW w:w="120" w:type="dxa"/>
            <w:vAlign w:val="bottom"/>
            <w:shd w:val="clear" w:color="auto" w:fill="E20074"/>
          </w:tcPr>
          <w:p>
            <w:pPr>
              <w:spacing w:after="0"/>
              <w:rPr>
                <w:sz w:val="14"/>
                <w:szCs w:val="14"/>
                <w:color w:val="auto"/>
              </w:rPr>
            </w:pPr>
          </w:p>
        </w:tc>
        <w:tc>
          <w:tcPr>
            <w:tcW w:w="1080" w:type="dxa"/>
            <w:vAlign w:val="bottom"/>
            <w:shd w:val="clear" w:color="auto" w:fill="E20074"/>
          </w:tcPr>
          <w:p>
            <w:pPr>
              <w:jc w:val="right"/>
              <w:ind w:right="85"/>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300" w:type="dxa"/>
            <w:vAlign w:val="bottom"/>
            <w:shd w:val="clear" w:color="auto" w:fill="E20074"/>
          </w:tcPr>
          <w:p>
            <w:pPr>
              <w:spacing w:after="0"/>
              <w:rPr>
                <w:sz w:val="14"/>
                <w:szCs w:val="14"/>
                <w:color w:val="auto"/>
              </w:rPr>
            </w:pPr>
          </w:p>
        </w:tc>
        <w:tc>
          <w:tcPr>
            <w:tcW w:w="880" w:type="dxa"/>
            <w:vAlign w:val="bottom"/>
            <w:shd w:val="clear" w:color="auto" w:fill="E20074"/>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rPr>
              <w:t>June 30,</w:t>
            </w:r>
          </w:p>
        </w:tc>
        <w:tc>
          <w:tcPr>
            <w:tcW w:w="12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080" w:type="dxa"/>
            <w:vAlign w:val="bottom"/>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120" w:type="dxa"/>
            <w:vAlign w:val="bottom"/>
            <w:vMerge w:val="restart"/>
            <w:shd w:val="clear" w:color="auto" w:fill="E20074"/>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4"/>
                <w:szCs w:val="14"/>
                <w:color w:val="auto"/>
              </w:rPr>
            </w:pPr>
          </w:p>
        </w:tc>
        <w:tc>
          <w:tcPr>
            <w:tcW w:w="300" w:type="dxa"/>
            <w:vAlign w:val="bottom"/>
            <w:shd w:val="clear" w:color="auto" w:fill="E20074"/>
          </w:tcPr>
          <w:p>
            <w:pPr>
              <w:spacing w:after="0"/>
              <w:rPr>
                <w:sz w:val="14"/>
                <w:szCs w:val="14"/>
                <w:color w:val="auto"/>
              </w:rPr>
            </w:pPr>
          </w:p>
        </w:tc>
        <w:tc>
          <w:tcPr>
            <w:tcW w:w="1020" w:type="dxa"/>
            <w:vAlign w:val="bottom"/>
            <w:vMerge w:val="restart"/>
            <w:shd w:val="clear" w:color="auto" w:fill="E20074"/>
          </w:tcPr>
          <w:p>
            <w:pPr>
              <w:jc w:val="right"/>
              <w:ind w:right="43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80" w:type="dxa"/>
            <w:vAlign w:val="bottom"/>
            <w:vMerge w:val="continue"/>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80" w:type="dxa"/>
            <w:vAlign w:val="bottom"/>
            <w:shd w:val="clear" w:color="auto" w:fill="E20074"/>
          </w:tcPr>
          <w:p>
            <w:pPr>
              <w:jc w:val="right"/>
              <w:ind w:right="385"/>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300" w:type="dxa"/>
            <w:vAlign w:val="bottom"/>
            <w:shd w:val="clear" w:color="auto" w:fill="E20074"/>
          </w:tcPr>
          <w:p>
            <w:pPr>
              <w:spacing w:after="0"/>
              <w:rPr>
                <w:sz w:val="17"/>
                <w:szCs w:val="17"/>
                <w:color w:val="auto"/>
              </w:rPr>
            </w:pPr>
          </w:p>
        </w:tc>
        <w:tc>
          <w:tcPr>
            <w:tcW w:w="880" w:type="dxa"/>
            <w:vAlign w:val="bottom"/>
            <w:shd w:val="clear" w:color="auto" w:fill="E20074"/>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w w:val="99"/>
              </w:rPr>
              <w:t>2026</w:t>
            </w:r>
          </w:p>
        </w:tc>
        <w:tc>
          <w:tcPr>
            <w:tcW w:w="12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80" w:type="dxa"/>
            <w:vAlign w:val="bottom"/>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120" w:type="dxa"/>
            <w:vAlign w:val="bottom"/>
            <w:vMerge w:val="continue"/>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shd w:val="clear" w:color="auto" w:fill="E20074"/>
          </w:tcPr>
          <w:p>
            <w:pPr>
              <w:spacing w:after="0"/>
              <w:rPr>
                <w:sz w:val="17"/>
                <w:szCs w:val="17"/>
                <w:color w:val="auto"/>
              </w:rPr>
            </w:pPr>
          </w:p>
        </w:tc>
        <w:tc>
          <w:tcPr>
            <w:tcW w:w="1020" w:type="dxa"/>
            <w:vAlign w:val="bottom"/>
            <w:vMerge w:val="continue"/>
            <w:shd w:val="clear" w:color="auto" w:fill="E2007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Supplemental disclosure of cash flow information</w:t>
            </w: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02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Interest payments, net of amounts capitalized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666666"/>
              </w:rPr>
              <w:t>946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666666"/>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1,119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997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666666"/>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3,119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66666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2,923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Operating lease payments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5"/>
              <w:spacing w:after="0"/>
              <w:rPr>
                <w:sz w:val="20"/>
                <w:szCs w:val="20"/>
                <w:color w:val="auto"/>
              </w:rPr>
            </w:pPr>
            <w:r>
              <w:rPr>
                <w:rFonts w:ascii="Times New Roman" w:cs="Times New Roman" w:eastAsia="Times New Roman" w:hAnsi="Times New Roman"/>
                <w:sz w:val="14"/>
                <w:szCs w:val="14"/>
                <w:color w:val="666666"/>
              </w:rPr>
              <w:t>1,302</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1,303</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1,269</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4,142</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3,685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Income tax payments, net of refunds received</w:t>
            </w:r>
          </w:p>
        </w:tc>
        <w:tc>
          <w:tcPr>
            <w:tcW w:w="120" w:type="dxa"/>
            <w:vAlign w:val="bottom"/>
          </w:tcPr>
          <w:p>
            <w:pPr>
              <w:spacing w:after="0"/>
              <w:rPr>
                <w:sz w:val="16"/>
                <w:szCs w:val="16"/>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666666"/>
              </w:rPr>
              <w:t>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666666"/>
              </w:rPr>
              <w:t>Non-cash investing and financing activities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666666"/>
              </w:rPr>
              <w:t>Change in accounts payable and accrued liabilities for purchases of property</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vMerge w:val="restart"/>
          </w:tcPr>
          <w:p>
            <w:pPr>
              <w:jc w:val="right"/>
              <w:ind w:right="5"/>
              <w:spacing w:after="0"/>
              <w:rPr>
                <w:sz w:val="20"/>
                <w:szCs w:val="20"/>
                <w:color w:val="auto"/>
              </w:rPr>
            </w:pPr>
            <w:r>
              <w:rPr>
                <w:rFonts w:ascii="Times New Roman" w:cs="Times New Roman" w:eastAsia="Times New Roman" w:hAnsi="Times New Roman"/>
                <w:sz w:val="14"/>
                <w:szCs w:val="14"/>
                <w:color w:val="666666"/>
              </w:rPr>
              <w:t>51</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666666"/>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(404)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136</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666666"/>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(710)</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666666"/>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and equipment</w:t>
            </w: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Operating lease right-of-use assets obtained in exchange for lease obligations</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5"/>
              <w:spacing w:after="0"/>
              <w:rPr>
                <w:sz w:val="20"/>
                <w:szCs w:val="20"/>
                <w:color w:val="auto"/>
              </w:rPr>
            </w:pPr>
            <w:r>
              <w:rPr>
                <w:rFonts w:ascii="Times New Roman" w:cs="Times New Roman" w:eastAsia="Times New Roman" w:hAnsi="Times New Roman"/>
                <w:sz w:val="14"/>
                <w:szCs w:val="14"/>
                <w:color w:val="666666"/>
              </w:rPr>
              <w:t>582</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540</w:t>
            </w:r>
          </w:p>
        </w:tc>
        <w:tc>
          <w:tcPr>
            <w:tcW w:w="12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1,064</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1,647</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2,138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Financing lease right-of-use assets obtained in exchange for lease obligations</w:t>
            </w:r>
          </w:p>
        </w:tc>
        <w:tc>
          <w:tcPr>
            <w:tcW w:w="120" w:type="dxa"/>
            <w:vAlign w:val="bottom"/>
          </w:tcPr>
          <w:p>
            <w:pPr>
              <w:spacing w:after="0"/>
              <w:rPr>
                <w:sz w:val="16"/>
                <w:szCs w:val="16"/>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666666"/>
              </w:rPr>
              <w:t>340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666666"/>
              </w:rPr>
              <w:t>Debt assumed in the UScellular Acquisition</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ind w:right="5"/>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00" w:type="dxa"/>
            <w:vAlign w:val="bottom"/>
            <w:tcBorders>
              <w:bottom w:val="single" w:sz="8" w:color="DDDDDD"/>
            </w:tcBorders>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1,653</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666666"/>
              </w:rPr>
              <w:t>1,653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45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0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-2477135</wp:posOffset>
            </wp:positionV>
            <wp:extent cx="7140575" cy="386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566"/>
        </w:trPr>
        <w:tc>
          <w:tcPr>
            <w:tcW w:w="358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860" w:type="dxa"/>
            <w:vAlign w:val="bottom"/>
            <w:gridSpan w:val="2"/>
            <w:shd w:val="clear" w:color="auto" w:fill="000000"/>
          </w:tcPr>
          <w:p>
            <w:pPr>
              <w:jc w:val="right"/>
              <w:ind w:right="168"/>
              <w:spacing w:after="0"/>
              <w:rPr>
                <w:sz w:val="20"/>
                <w:szCs w:val="20"/>
                <w:color w:val="auto"/>
              </w:rPr>
            </w:pPr>
            <w:r>
              <w:rPr>
                <w:rFonts w:ascii="Arial" w:cs="Arial" w:eastAsia="Arial" w:hAnsi="Arial"/>
                <w:sz w:val="32"/>
                <w:szCs w:val="32"/>
                <w:b w:val="1"/>
                <w:bCs w:val="1"/>
                <w:color w:val="E20074"/>
              </w:rPr>
              <w:t>19</w:t>
            </w:r>
          </w:p>
        </w:tc>
        <w:tc>
          <w:tcPr>
            <w:tcW w:w="0" w:type="dxa"/>
            <w:vAlign w:val="bottom"/>
          </w:tcPr>
          <w:p>
            <w:pPr>
              <w:spacing w:after="0"/>
              <w:rPr>
                <w:sz w:val="1"/>
                <w:szCs w:val="1"/>
                <w:color w:val="auto"/>
              </w:rPr>
            </w:pPr>
          </w:p>
        </w:tc>
      </w:tr>
      <w:tr>
        <w:trPr>
          <w:trHeight w:val="109"/>
        </w:trPr>
        <w:tc>
          <w:tcPr>
            <w:tcW w:w="358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860" w:type="dxa"/>
            <w:vAlign w:val="bottom"/>
            <w:gridSpan w:val="2"/>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860" w:type="dxa"/>
            <w:vAlign w:val="bottom"/>
            <w:gridSpan w:val="2"/>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48"/>
              <w:spacing w:after="0"/>
              <w:rPr>
                <w:sz w:val="20"/>
                <w:szCs w:val="20"/>
                <w:color w:val="auto"/>
              </w:rPr>
            </w:pPr>
            <w:r>
              <w:rPr>
                <w:rFonts w:ascii="Arial" w:cs="Arial" w:eastAsia="Arial" w:hAnsi="Arial"/>
                <w:sz w:val="18"/>
                <w:szCs w:val="18"/>
                <w:b w:val="1"/>
                <w:bCs w:val="1"/>
                <w:color w:val="666666"/>
                <w:w w:val="99"/>
              </w:rPr>
              <w:t>T-Mobile US, Inc.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4200" w:type="dxa"/>
            <w:vAlign w:val="bottom"/>
            <w:gridSpan w:val="9"/>
          </w:tcPr>
          <w:p>
            <w:pPr>
              <w:jc w:val="center"/>
              <w:ind w:right="48"/>
              <w:spacing w:after="0"/>
              <w:rPr>
                <w:sz w:val="20"/>
                <w:szCs w:val="20"/>
                <w:color w:val="auto"/>
              </w:rPr>
            </w:pPr>
            <w:r>
              <w:rPr>
                <w:rFonts w:ascii="Arial" w:cs="Arial" w:eastAsia="Arial" w:hAnsi="Arial"/>
                <w:sz w:val="18"/>
                <w:szCs w:val="18"/>
                <w:b w:val="1"/>
                <w:bCs w:val="1"/>
                <w:color w:val="666666"/>
                <w:w w:val="99"/>
              </w:rPr>
              <w:t>Supplementary Operating and Financial Data</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4"/>
          </w:tcPr>
          <w:p>
            <w:pPr>
              <w:jc w:val="center"/>
              <w:ind w:left="556"/>
              <w:spacing w:after="0"/>
              <w:rPr>
                <w:sz w:val="20"/>
                <w:szCs w:val="20"/>
                <w:color w:val="auto"/>
              </w:rPr>
            </w:pPr>
            <w:r>
              <w:rPr>
                <w:rFonts w:ascii="Arial" w:cs="Arial" w:eastAsia="Arial" w:hAnsi="Arial"/>
                <w:sz w:val="18"/>
                <w:szCs w:val="18"/>
                <w:b w:val="1"/>
                <w:bCs w:val="1"/>
                <w:color w:val="666666"/>
                <w:w w:val="99"/>
              </w:rPr>
              <w:t>(Unaudited)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580" w:type="dxa"/>
            <w:vAlign w:val="bottom"/>
          </w:tcPr>
          <w:p>
            <w:pPr>
              <w:spacing w:after="0"/>
              <w:rPr>
                <w:sz w:val="14"/>
                <w:szCs w:val="14"/>
                <w:color w:val="auto"/>
              </w:rPr>
            </w:pPr>
          </w:p>
        </w:tc>
        <w:tc>
          <w:tcPr>
            <w:tcW w:w="74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6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76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760" w:type="dxa"/>
            <w:vAlign w:val="bottom"/>
            <w:vMerge w:val="restart"/>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76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4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6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74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6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6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6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76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4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6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10"/>
        </w:trPr>
        <w:tc>
          <w:tcPr>
            <w:tcW w:w="3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666666"/>
              </w:rPr>
              <w:t>(in thousands)</w:t>
            </w:r>
          </w:p>
        </w:tc>
        <w:tc>
          <w:tcPr>
            <w:tcW w:w="740" w:type="dxa"/>
            <w:vAlign w:val="bottom"/>
            <w:tcBorders>
              <w:bottom w:val="single" w:sz="8" w:color="E20074"/>
            </w:tcBorders>
            <w:shd w:val="clear" w:color="auto" w:fill="E20074"/>
          </w:tcPr>
          <w:p>
            <w:pPr>
              <w:jc w:val="right"/>
              <w:ind w:right="22"/>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2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36"/>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0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0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20" w:type="dxa"/>
            <w:vAlign w:val="bottom"/>
          </w:tcPr>
          <w:p>
            <w:pPr>
              <w:spacing w:after="0"/>
              <w:rPr>
                <w:sz w:val="18"/>
                <w:szCs w:val="18"/>
                <w:color w:val="auto"/>
              </w:rPr>
            </w:pPr>
          </w:p>
        </w:tc>
        <w:tc>
          <w:tcPr>
            <w:tcW w:w="74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2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0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760" w:type="dxa"/>
            <w:vAlign w:val="bottom"/>
            <w:tcBorders>
              <w:bottom w:val="single" w:sz="8" w:color="E20074"/>
            </w:tcBorders>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666666"/>
              </w:rPr>
              <w:t>Accounts, end of period</w:t>
            </w:r>
          </w:p>
        </w:tc>
        <w:tc>
          <w:tcPr>
            <w:tcW w:w="7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 xml:space="preserve">Total postpaid accounts </w:t>
            </w:r>
            <w:r>
              <w:rPr>
                <w:rFonts w:ascii="Times New Roman" w:cs="Times New Roman" w:eastAsia="Times New Roman" w:hAnsi="Times New Roman"/>
                <w:sz w:val="18"/>
                <w:szCs w:val="18"/>
                <w:color w:val="666666"/>
                <w:vertAlign w:val="superscript"/>
              </w:rPr>
              <w:t>(1) (2) (3) (4) (5)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31,099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31,502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33,979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34,240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34,439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34,700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34,974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33,979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34,974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40575" cy="3860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386080"/>
                    </a:xfrm>
                    <a:prstGeom prst="rect">
                      <a:avLst/>
                    </a:prstGeom>
                    <a:noFill/>
                  </pic:spPr>
                </pic:pic>
              </a:graphicData>
            </a:graphic>
          </wp:anchor>
        </w:drawing>
      </w:r>
    </w:p>
    <w:p>
      <w:pPr>
        <w:spacing w:after="0" w:line="25" w:lineRule="exact"/>
        <w:rPr>
          <w:sz w:val="20"/>
          <w:szCs w:val="20"/>
          <w:color w:val="auto"/>
        </w:rPr>
      </w:pPr>
    </w:p>
    <w:p>
      <w:pPr>
        <w:ind w:left="240" w:hanging="232"/>
        <w:spacing w:after="0"/>
        <w:tabs>
          <w:tab w:leader="none" w:pos="240" w:val="left"/>
        </w:tabs>
        <w:numPr>
          <w:ilvl w:val="0"/>
          <w:numId w:val="46"/>
        </w:numPr>
        <w:rPr>
          <w:rFonts w:ascii="Times New Roman" w:cs="Times New Roman" w:eastAsia="Times New Roman" w:hAnsi="Times New Roman"/>
          <w:sz w:val="13"/>
          <w:szCs w:val="13"/>
          <w:color w:val="666666"/>
        </w:rPr>
      </w:pPr>
      <w:r>
        <w:rPr>
          <w:rFonts w:ascii="Times New Roman" w:cs="Times New Roman" w:eastAsia="Times New Roman" w:hAnsi="Times New Roman"/>
          <w:sz w:val="13"/>
          <w:szCs w:val="13"/>
          <w:color w:val="666666"/>
        </w:rPr>
        <w:t>In the second quarter of 2025, we acquired 85,000 postpaid accounts from Lumos.</w:t>
      </w:r>
    </w:p>
    <w:p>
      <w:pPr>
        <w:spacing w:after="0" w:line="13" w:lineRule="exact"/>
        <w:rPr>
          <w:rFonts w:ascii="Times New Roman" w:cs="Times New Roman" w:eastAsia="Times New Roman" w:hAnsi="Times New Roman"/>
          <w:sz w:val="13"/>
          <w:szCs w:val="13"/>
          <w:color w:val="666666"/>
        </w:rPr>
      </w:pPr>
    </w:p>
    <w:p>
      <w:pPr>
        <w:ind w:left="240" w:hanging="232"/>
        <w:spacing w:after="0"/>
        <w:tabs>
          <w:tab w:leader="none" w:pos="240" w:val="left"/>
        </w:tabs>
        <w:numPr>
          <w:ilvl w:val="0"/>
          <w:numId w:val="46"/>
        </w:numPr>
        <w:rPr>
          <w:rFonts w:ascii="Times New Roman" w:cs="Times New Roman" w:eastAsia="Times New Roman" w:hAnsi="Times New Roman"/>
          <w:sz w:val="13"/>
          <w:szCs w:val="13"/>
          <w:color w:val="666666"/>
        </w:rPr>
      </w:pPr>
      <w:r>
        <w:rPr>
          <w:rFonts w:ascii="Times New Roman" w:cs="Times New Roman" w:eastAsia="Times New Roman" w:hAnsi="Times New Roman"/>
          <w:sz w:val="13"/>
          <w:szCs w:val="13"/>
          <w:color w:val="666666"/>
        </w:rPr>
        <w:t>In the third quarter of 2025, we acquired 633,000 postpaid accounts from Metronet and other acquisitions.</w:t>
      </w:r>
    </w:p>
    <w:p>
      <w:pPr>
        <w:ind w:left="240" w:hanging="232"/>
        <w:spacing w:after="0"/>
        <w:tabs>
          <w:tab w:leader="none" w:pos="240" w:val="left"/>
        </w:tabs>
        <w:numPr>
          <w:ilvl w:val="0"/>
          <w:numId w:val="46"/>
        </w:numPr>
        <w:rPr>
          <w:rFonts w:ascii="Times New Roman" w:cs="Times New Roman" w:eastAsia="Times New Roman" w:hAnsi="Times New Roman"/>
          <w:sz w:val="13"/>
          <w:szCs w:val="13"/>
          <w:color w:val="666666"/>
        </w:rPr>
      </w:pPr>
      <w:r>
        <w:rPr>
          <w:rFonts w:ascii="Times New Roman" w:cs="Times New Roman" w:eastAsia="Times New Roman" w:hAnsi="Times New Roman"/>
          <w:sz w:val="13"/>
          <w:szCs w:val="13"/>
          <w:color w:val="666666"/>
        </w:rPr>
        <w:t>In the third quarter of 2025, we acquired 1,448,000 postpaid accounts through the UScellular acquisition, which includes the impact of certain base adjustments to align the policies of UScellular and T-Mobile.</w:t>
      </w:r>
    </w:p>
    <w:p>
      <w:pPr>
        <w:ind w:left="240" w:hanging="232"/>
        <w:spacing w:after="0"/>
        <w:tabs>
          <w:tab w:leader="none" w:pos="240" w:val="left"/>
        </w:tabs>
        <w:numPr>
          <w:ilvl w:val="0"/>
          <w:numId w:val="46"/>
        </w:numPr>
        <w:rPr>
          <w:rFonts w:ascii="Times New Roman" w:cs="Times New Roman" w:eastAsia="Times New Roman" w:hAnsi="Times New Roman"/>
          <w:sz w:val="13"/>
          <w:szCs w:val="13"/>
          <w:color w:val="666666"/>
        </w:rPr>
      </w:pPr>
      <w:r>
        <w:rPr>
          <w:rFonts w:ascii="Times New Roman" w:cs="Times New Roman" w:eastAsia="Times New Roman" w:hAnsi="Times New Roman"/>
          <w:sz w:val="13"/>
          <w:szCs w:val="13"/>
          <w:color w:val="666666"/>
        </w:rPr>
        <w:t>In the first quarter of 2026, we recognized a base adjustment to decrease postpaid accounts by 18,000, primarily due to combining certain business accounts that have multiple billing account numbers.</w:t>
      </w:r>
    </w:p>
    <w:p>
      <w:pPr>
        <w:ind w:left="240" w:hanging="232"/>
        <w:spacing w:after="0"/>
        <w:tabs>
          <w:tab w:leader="none" w:pos="240" w:val="left"/>
        </w:tabs>
        <w:numPr>
          <w:ilvl w:val="0"/>
          <w:numId w:val="46"/>
        </w:numPr>
        <w:rPr>
          <w:rFonts w:ascii="Times New Roman" w:cs="Times New Roman" w:eastAsia="Times New Roman" w:hAnsi="Times New Roman"/>
          <w:sz w:val="13"/>
          <w:szCs w:val="13"/>
          <w:color w:val="666666"/>
        </w:rPr>
      </w:pPr>
      <w:r>
        <w:rPr>
          <w:rFonts w:ascii="Times New Roman" w:cs="Times New Roman" w:eastAsia="Times New Roman" w:hAnsi="Times New Roman"/>
          <w:sz w:val="13"/>
          <w:szCs w:val="13"/>
          <w:color w:val="666666"/>
        </w:rPr>
        <w:t>In the second quarter of 2026, Metronet agreed to repurchase certain customer accounts, resulting in a base adjustment to decrease postpaid accounts by 16,000.</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666666"/>
        </w:rPr>
        <w:t>These base adjustments had no impact on postpaid net account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40575" cy="3860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0575" cy="38608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8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320" w:type="dxa"/>
            <w:vAlign w:val="bottom"/>
            <w:shd w:val="clear" w:color="auto" w:fill="E20074"/>
          </w:tcPr>
          <w:p>
            <w:pPr>
              <w:spacing w:after="0"/>
              <w:rPr>
                <w:sz w:val="14"/>
                <w:szCs w:val="14"/>
                <w:color w:val="auto"/>
              </w:rPr>
            </w:pPr>
          </w:p>
        </w:tc>
        <w:tc>
          <w:tcPr>
            <w:tcW w:w="6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660" w:type="dxa"/>
            <w:vAlign w:val="bottom"/>
            <w:tcBorders>
              <w:right w:val="single" w:sz="8" w:color="E20074"/>
            </w:tcBorders>
            <w:gridSpan w:val="4"/>
            <w:vMerge w:val="restart"/>
            <w:shd w:val="clear" w:color="auto" w:fill="E20074"/>
          </w:tcPr>
          <w:p>
            <w:pPr>
              <w:jc w:val="right"/>
              <w:ind w:right="10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2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2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6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4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520" w:type="dxa"/>
            <w:vAlign w:val="bottom"/>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500" w:type="dxa"/>
            <w:vAlign w:val="bottom"/>
            <w:gridSpan w:val="5"/>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40" w:type="dxa"/>
            <w:vAlign w:val="bottom"/>
            <w:tcBorders>
              <w:left w:val="single" w:sz="8" w:color="E20074"/>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8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320" w:type="dxa"/>
            <w:vAlign w:val="bottom"/>
            <w:shd w:val="clear" w:color="auto" w:fill="E20074"/>
          </w:tcPr>
          <w:p>
            <w:pPr>
              <w:spacing w:after="0"/>
              <w:rPr>
                <w:sz w:val="17"/>
                <w:szCs w:val="17"/>
                <w:color w:val="auto"/>
              </w:rPr>
            </w:pPr>
          </w:p>
        </w:tc>
        <w:tc>
          <w:tcPr>
            <w:tcW w:w="6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660" w:type="dxa"/>
            <w:vAlign w:val="bottom"/>
            <w:tcBorders>
              <w:right w:val="single" w:sz="8" w:color="E20074"/>
            </w:tcBorders>
            <w:gridSpan w:val="4"/>
            <w:vMerge w:val="continue"/>
            <w:shd w:val="clear" w:color="auto" w:fill="E20074"/>
          </w:tcPr>
          <w:p>
            <w:pPr>
              <w:spacing w:after="0"/>
              <w:rPr>
                <w:sz w:val="17"/>
                <w:szCs w:val="17"/>
                <w:color w:val="auto"/>
              </w:rPr>
            </w:pPr>
          </w:p>
        </w:tc>
        <w:tc>
          <w:tcPr>
            <w:tcW w:w="12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2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6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4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520" w:type="dxa"/>
            <w:vAlign w:val="bottom"/>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00" w:type="dxa"/>
            <w:vAlign w:val="bottom"/>
            <w:gridSpan w:val="5"/>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40" w:type="dxa"/>
            <w:vAlign w:val="bottom"/>
            <w:tcBorders>
              <w:left w:val="single" w:sz="8" w:color="E20074"/>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666666"/>
              </w:rPr>
              <w:t>(in thousands)</w:t>
            </w:r>
          </w:p>
        </w:tc>
        <w:tc>
          <w:tcPr>
            <w:tcW w:w="420" w:type="dxa"/>
            <w:vAlign w:val="bottom"/>
          </w:tcPr>
          <w:p>
            <w:pPr>
              <w:spacing w:after="0"/>
              <w:rPr>
                <w:sz w:val="18"/>
                <w:szCs w:val="18"/>
                <w:color w:val="auto"/>
              </w:rPr>
            </w:pPr>
          </w:p>
        </w:tc>
        <w:tc>
          <w:tcPr>
            <w:tcW w:w="740" w:type="dxa"/>
            <w:vAlign w:val="bottom"/>
            <w:tcBorders>
              <w:bottom w:val="single" w:sz="8" w:color="E20074"/>
            </w:tcBorders>
            <w:gridSpan w:val="5"/>
            <w:shd w:val="clear" w:color="auto" w:fill="E20074"/>
          </w:tcPr>
          <w:p>
            <w:pPr>
              <w:jc w:val="right"/>
              <w:ind w:right="100"/>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20" w:type="dxa"/>
            <w:vAlign w:val="bottom"/>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gridSpan w:val="4"/>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00" w:type="dxa"/>
            <w:vAlign w:val="bottom"/>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right w:val="single" w:sz="8" w:color="E20074"/>
            </w:tcBorders>
            <w:gridSpan w:val="4"/>
            <w:shd w:val="clear" w:color="auto" w:fill="E20074"/>
          </w:tcPr>
          <w:p>
            <w:pPr>
              <w:jc w:val="right"/>
              <w:ind w:right="23"/>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40" w:type="dxa"/>
            <w:vAlign w:val="bottom"/>
            <w:tcBorders>
              <w:lef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right w:val="single" w:sz="8" w:color="E20074"/>
            </w:tcBorders>
            <w:gridSpan w:val="4"/>
            <w:shd w:val="clear" w:color="auto" w:fill="E20074"/>
          </w:tcPr>
          <w:p>
            <w:pPr>
              <w:ind w:left="60"/>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20" w:type="dxa"/>
            <w:vAlign w:val="bottom"/>
            <w:tcBorders>
              <w:lef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gridSpan w:val="5"/>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20" w:type="dxa"/>
            <w:vAlign w:val="bottom"/>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right w:val="single" w:sz="8" w:color="E20074"/>
            </w:tcBorders>
            <w:gridSpan w:val="3"/>
            <w:shd w:val="clear" w:color="auto" w:fill="E20074"/>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40" w:type="dxa"/>
            <w:vAlign w:val="bottom"/>
            <w:tcBorders>
              <w:lef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gridSpan w:val="3"/>
            <w:shd w:val="clear" w:color="auto" w:fill="E20074"/>
          </w:tcPr>
          <w:p>
            <w:pPr>
              <w:ind w:left="40"/>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0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580" w:type="dxa"/>
            <w:vAlign w:val="bottom"/>
            <w:tcBorders>
              <w:bottom w:val="single" w:sz="8" w:color="E20074"/>
            </w:tcBorders>
            <w:shd w:val="clear" w:color="auto" w:fill="E20074"/>
          </w:tcPr>
          <w:p>
            <w:pPr>
              <w:ind w:left="14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Borders>
              <w:left w:val="single" w:sz="8" w:color="E20074"/>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 w:type="dxa"/>
            <w:vAlign w:val="bottom"/>
            <w:tcBorders>
              <w:left w:val="single" w:sz="8" w:color="E2007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314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666666"/>
              </w:rPr>
              <w:t>Net account additions</w:t>
            </w:r>
          </w:p>
        </w:tc>
        <w:tc>
          <w:tcPr>
            <w:tcW w:w="420" w:type="dxa"/>
            <w:vAlign w:val="bottom"/>
            <w:tcBorders>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left w:val="single" w:sz="8" w:color="DBDBDB"/>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666666"/>
              </w:rPr>
              <w:t>Postpaid net account additions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666666"/>
              </w:rPr>
              <w:t>205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666666"/>
              </w:rPr>
              <w:t>318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666666"/>
              </w:rPr>
              <w:t>396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666666"/>
              </w:rPr>
              <w:t>261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666666"/>
              </w:rPr>
              <w:t>217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277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666666"/>
              </w:rPr>
              <w:t>274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Borders>
              <w:right w:val="single" w:sz="8" w:color="E20074"/>
            </w:tcBorders>
          </w:tcPr>
          <w:p>
            <w:pPr>
              <w:spacing w:after="0"/>
              <w:rPr>
                <w:sz w:val="14"/>
                <w:szCs w:val="14"/>
                <w:color w:val="auto"/>
              </w:rPr>
            </w:pPr>
          </w:p>
        </w:tc>
        <w:tc>
          <w:tcPr>
            <w:tcW w:w="420" w:type="dxa"/>
            <w:vAlign w:val="bottom"/>
            <w:tcBorders>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8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320" w:type="dxa"/>
            <w:vAlign w:val="bottom"/>
            <w:shd w:val="clear" w:color="auto" w:fill="E20074"/>
          </w:tcPr>
          <w:p>
            <w:pPr>
              <w:spacing w:after="0"/>
              <w:rPr>
                <w:sz w:val="14"/>
                <w:szCs w:val="14"/>
                <w:color w:val="auto"/>
              </w:rPr>
            </w:pPr>
          </w:p>
        </w:tc>
        <w:tc>
          <w:tcPr>
            <w:tcW w:w="6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right w:val="single" w:sz="8" w:color="E20074"/>
            </w:tcBorders>
            <w:shd w:val="clear" w:color="auto" w:fill="E20074"/>
          </w:tcPr>
          <w:p>
            <w:pPr>
              <w:spacing w:after="0"/>
              <w:rPr>
                <w:sz w:val="14"/>
                <w:szCs w:val="14"/>
                <w:color w:val="auto"/>
              </w:rPr>
            </w:pPr>
          </w:p>
        </w:tc>
        <w:tc>
          <w:tcPr>
            <w:tcW w:w="880" w:type="dxa"/>
            <w:vAlign w:val="bottom"/>
            <w:tcBorders>
              <w:left w:val="single" w:sz="8" w:color="E20074"/>
              <w:right w:val="single" w:sz="8" w:color="E20074"/>
            </w:tcBorders>
            <w:gridSpan w:val="6"/>
            <w:vMerge w:val="restart"/>
            <w:shd w:val="clear" w:color="auto" w:fill="E20074"/>
          </w:tcPr>
          <w:p>
            <w:pPr>
              <w:jc w:val="right"/>
              <w:ind w:right="400"/>
              <w:spacing w:after="0"/>
              <w:rPr>
                <w:sz w:val="20"/>
                <w:szCs w:val="20"/>
                <w:color w:val="auto"/>
              </w:rPr>
            </w:pPr>
            <w:r>
              <w:rPr>
                <w:rFonts w:ascii="Times New Roman" w:cs="Times New Roman" w:eastAsia="Times New Roman" w:hAnsi="Times New Roman"/>
                <w:sz w:val="14"/>
                <w:szCs w:val="14"/>
                <w:b w:val="1"/>
                <w:bCs w:val="1"/>
                <w:color w:val="FFFFFF"/>
                <w:w w:val="93"/>
              </w:rPr>
              <w:t>Quarter</w:t>
            </w:r>
          </w:p>
        </w:tc>
        <w:tc>
          <w:tcPr>
            <w:tcW w:w="12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2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6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4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520" w:type="dxa"/>
            <w:vAlign w:val="bottom"/>
            <w:shd w:val="clear" w:color="auto" w:fill="E20074"/>
          </w:tcPr>
          <w:p>
            <w:pPr>
              <w:spacing w:after="0"/>
              <w:rPr>
                <w:sz w:val="14"/>
                <w:szCs w:val="14"/>
                <w:color w:val="auto"/>
              </w:rPr>
            </w:pPr>
          </w:p>
        </w:tc>
        <w:tc>
          <w:tcPr>
            <w:tcW w:w="140" w:type="dxa"/>
            <w:vAlign w:val="bottom"/>
            <w:tcBorders>
              <w:right w:val="single" w:sz="8" w:color="E20074"/>
            </w:tcBorders>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500" w:type="dxa"/>
            <w:vAlign w:val="bottom"/>
            <w:gridSpan w:val="5"/>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Borders>
              <w:right w:val="single" w:sz="8" w:color="E20074"/>
            </w:tcBorders>
          </w:tcPr>
          <w:p>
            <w:pPr>
              <w:spacing w:after="0"/>
              <w:rPr>
                <w:sz w:val="17"/>
                <w:szCs w:val="17"/>
                <w:color w:val="auto"/>
              </w:rPr>
            </w:pPr>
          </w:p>
        </w:tc>
        <w:tc>
          <w:tcPr>
            <w:tcW w:w="420" w:type="dxa"/>
            <w:vAlign w:val="bottom"/>
            <w:tcBorders>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8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320" w:type="dxa"/>
            <w:vAlign w:val="bottom"/>
            <w:shd w:val="clear" w:color="auto" w:fill="E20074"/>
          </w:tcPr>
          <w:p>
            <w:pPr>
              <w:spacing w:after="0"/>
              <w:rPr>
                <w:sz w:val="17"/>
                <w:szCs w:val="17"/>
                <w:color w:val="auto"/>
              </w:rPr>
            </w:pPr>
          </w:p>
        </w:tc>
        <w:tc>
          <w:tcPr>
            <w:tcW w:w="6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right w:val="single" w:sz="8" w:color="E20074"/>
            </w:tcBorders>
            <w:shd w:val="clear" w:color="auto" w:fill="E20074"/>
          </w:tcPr>
          <w:p>
            <w:pPr>
              <w:spacing w:after="0"/>
              <w:rPr>
                <w:sz w:val="17"/>
                <w:szCs w:val="17"/>
                <w:color w:val="auto"/>
              </w:rPr>
            </w:pPr>
          </w:p>
        </w:tc>
        <w:tc>
          <w:tcPr>
            <w:tcW w:w="880" w:type="dxa"/>
            <w:vAlign w:val="bottom"/>
            <w:tcBorders>
              <w:left w:val="single" w:sz="8" w:color="E20074"/>
              <w:right w:val="single" w:sz="8" w:color="E20074"/>
            </w:tcBorders>
            <w:gridSpan w:val="6"/>
            <w:vMerge w:val="continue"/>
            <w:shd w:val="clear" w:color="auto" w:fill="E20074"/>
          </w:tcPr>
          <w:p>
            <w:pPr>
              <w:spacing w:after="0"/>
              <w:rPr>
                <w:sz w:val="17"/>
                <w:szCs w:val="17"/>
                <w:color w:val="auto"/>
              </w:rPr>
            </w:pPr>
          </w:p>
        </w:tc>
        <w:tc>
          <w:tcPr>
            <w:tcW w:w="12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2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6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4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520" w:type="dxa"/>
            <w:vAlign w:val="bottom"/>
            <w:shd w:val="clear" w:color="auto" w:fill="E20074"/>
          </w:tcPr>
          <w:p>
            <w:pPr>
              <w:spacing w:after="0"/>
              <w:rPr>
                <w:sz w:val="17"/>
                <w:szCs w:val="17"/>
                <w:color w:val="auto"/>
              </w:rPr>
            </w:pPr>
          </w:p>
        </w:tc>
        <w:tc>
          <w:tcPr>
            <w:tcW w:w="140" w:type="dxa"/>
            <w:vAlign w:val="bottom"/>
            <w:tcBorders>
              <w:right w:val="single" w:sz="8" w:color="E20074"/>
            </w:tcBorders>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00" w:type="dxa"/>
            <w:vAlign w:val="bottom"/>
            <w:gridSpan w:val="5"/>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right w:val="single" w:sz="8" w:color="E20074"/>
            </w:tcBorders>
          </w:tcPr>
          <w:p>
            <w:pPr>
              <w:spacing w:after="0"/>
              <w:rPr>
                <w:sz w:val="18"/>
                <w:szCs w:val="18"/>
                <w:color w:val="auto"/>
              </w:rPr>
            </w:pPr>
          </w:p>
        </w:tc>
        <w:tc>
          <w:tcPr>
            <w:tcW w:w="660" w:type="dxa"/>
            <w:vAlign w:val="bottom"/>
            <w:tcBorders>
              <w:bottom w:val="single" w:sz="8" w:color="E20074"/>
            </w:tcBorders>
            <w:gridSpan w:val="2"/>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80" w:type="dxa"/>
            <w:vAlign w:val="bottom"/>
            <w:tcBorders>
              <w:bottom w:val="single" w:sz="8" w:color="E20074"/>
            </w:tcBorders>
            <w:shd w:val="clear" w:color="auto" w:fill="E20074"/>
          </w:tcPr>
          <w:p>
            <w:pPr>
              <w:spacing w:after="0"/>
              <w:rPr>
                <w:sz w:val="18"/>
                <w:szCs w:val="18"/>
                <w:color w:val="auto"/>
              </w:rPr>
            </w:pPr>
          </w:p>
        </w:tc>
        <w:tc>
          <w:tcPr>
            <w:tcW w:w="160" w:type="dxa"/>
            <w:vAlign w:val="bottom"/>
            <w:tcBorders>
              <w:right w:val="single" w:sz="8" w:color="E20074"/>
            </w:tcBorders>
          </w:tcPr>
          <w:p>
            <w:pPr>
              <w:spacing w:after="0"/>
              <w:rPr>
                <w:sz w:val="18"/>
                <w:szCs w:val="18"/>
                <w:color w:val="auto"/>
              </w:rPr>
            </w:pPr>
          </w:p>
        </w:tc>
        <w:tc>
          <w:tcPr>
            <w:tcW w:w="740" w:type="dxa"/>
            <w:vAlign w:val="bottom"/>
            <w:tcBorders>
              <w:bottom w:val="single" w:sz="8" w:color="E20074"/>
              <w:right w:val="single" w:sz="8" w:color="E20074"/>
            </w:tcBorders>
            <w:gridSpan w:val="5"/>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60" w:type="dxa"/>
            <w:vAlign w:val="bottom"/>
            <w:tcBorders>
              <w:right w:val="single" w:sz="8" w:color="E20074"/>
            </w:tcBorders>
          </w:tcPr>
          <w:p>
            <w:pPr>
              <w:spacing w:after="0"/>
              <w:rPr>
                <w:sz w:val="18"/>
                <w:szCs w:val="18"/>
                <w:color w:val="auto"/>
              </w:rPr>
            </w:pPr>
          </w:p>
        </w:tc>
        <w:tc>
          <w:tcPr>
            <w:tcW w:w="740" w:type="dxa"/>
            <w:vAlign w:val="bottom"/>
            <w:tcBorders>
              <w:bottom w:val="single" w:sz="8" w:color="E20074"/>
            </w:tcBorders>
            <w:gridSpan w:val="5"/>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6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160" w:type="dxa"/>
            <w:vAlign w:val="bottom"/>
            <w:tcBorders>
              <w:bottom w:val="single" w:sz="8" w:color="E20074"/>
              <w:right w:val="single" w:sz="8" w:color="E20074"/>
            </w:tcBorders>
            <w:shd w:val="clear" w:color="auto" w:fill="E20074"/>
          </w:tcPr>
          <w:p>
            <w:pPr>
              <w:spacing w:after="0"/>
              <w:rPr>
                <w:sz w:val="18"/>
                <w:szCs w:val="18"/>
                <w:color w:val="auto"/>
              </w:rPr>
            </w:pPr>
          </w:p>
        </w:tc>
        <w:tc>
          <w:tcPr>
            <w:tcW w:w="580" w:type="dxa"/>
            <w:vAlign w:val="bottom"/>
            <w:tcBorders>
              <w:left w:val="single" w:sz="8" w:color="E20074"/>
              <w:bottom w:val="single" w:sz="8" w:color="E20074"/>
            </w:tcBorders>
            <w:gridSpan w:val="3"/>
            <w:shd w:val="clear" w:color="auto" w:fill="E20074"/>
          </w:tcPr>
          <w:p>
            <w:pPr>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60" w:type="dxa"/>
            <w:vAlign w:val="bottom"/>
          </w:tcPr>
          <w:p>
            <w:pPr>
              <w:spacing w:after="0"/>
              <w:rPr>
                <w:sz w:val="18"/>
                <w:szCs w:val="18"/>
                <w:color w:val="auto"/>
              </w:rPr>
            </w:pPr>
          </w:p>
        </w:tc>
        <w:tc>
          <w:tcPr>
            <w:tcW w:w="120" w:type="dxa"/>
            <w:vAlign w:val="bottom"/>
            <w:tcBorders>
              <w:right w:val="single" w:sz="8" w:color="E20074"/>
            </w:tcBorders>
          </w:tcPr>
          <w:p>
            <w:pPr>
              <w:spacing w:after="0"/>
              <w:rPr>
                <w:sz w:val="18"/>
                <w:szCs w:val="18"/>
                <w:color w:val="auto"/>
              </w:rPr>
            </w:pPr>
          </w:p>
        </w:tc>
        <w:tc>
          <w:tcPr>
            <w:tcW w:w="120" w:type="dxa"/>
            <w:vAlign w:val="bottom"/>
            <w:tcBorders>
              <w:bottom w:val="single" w:sz="8" w:color="E20074"/>
              <w:right w:val="single" w:sz="8" w:color="E20074"/>
            </w:tcBorders>
            <w:shd w:val="clear" w:color="auto" w:fill="E20074"/>
          </w:tcPr>
          <w:p>
            <w:pPr>
              <w:spacing w:after="0"/>
              <w:rPr>
                <w:sz w:val="18"/>
                <w:szCs w:val="18"/>
                <w:color w:val="auto"/>
              </w:rPr>
            </w:pPr>
          </w:p>
        </w:tc>
        <w:tc>
          <w:tcPr>
            <w:tcW w:w="620" w:type="dxa"/>
            <w:vAlign w:val="bottom"/>
            <w:tcBorders>
              <w:left w:val="single" w:sz="8" w:color="E20074"/>
              <w:bottom w:val="single" w:sz="8" w:color="E20074"/>
            </w:tcBorders>
            <w:gridSpan w:val="3"/>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w w:val="93"/>
              </w:rPr>
              <w:t>Q1 2026</w:t>
            </w:r>
          </w:p>
        </w:tc>
        <w:tc>
          <w:tcPr>
            <w:tcW w:w="40" w:type="dxa"/>
            <w:vAlign w:val="bottom"/>
          </w:tcPr>
          <w:p>
            <w:pPr>
              <w:spacing w:after="0"/>
              <w:rPr>
                <w:sz w:val="18"/>
                <w:szCs w:val="18"/>
                <w:color w:val="auto"/>
              </w:rPr>
            </w:pP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2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gridSpan w:val="3"/>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40" w:type="dxa"/>
            <w:vAlign w:val="bottom"/>
          </w:tcPr>
          <w:p>
            <w:pPr>
              <w:spacing w:after="0"/>
              <w:rPr>
                <w:sz w:val="18"/>
                <w:szCs w:val="18"/>
                <w:color w:val="auto"/>
              </w:rPr>
            </w:pPr>
          </w:p>
        </w:tc>
        <w:tc>
          <w:tcPr>
            <w:tcW w:w="140" w:type="dxa"/>
            <w:vAlign w:val="bottom"/>
            <w:tcBorders>
              <w:right w:val="single" w:sz="8" w:color="E20074"/>
            </w:tcBorders>
          </w:tcPr>
          <w:p>
            <w:pPr>
              <w:spacing w:after="0"/>
              <w:rPr>
                <w:sz w:val="18"/>
                <w:szCs w:val="18"/>
                <w:color w:val="auto"/>
              </w:rPr>
            </w:pPr>
          </w:p>
        </w:tc>
        <w:tc>
          <w:tcPr>
            <w:tcW w:w="740" w:type="dxa"/>
            <w:vAlign w:val="bottom"/>
            <w:tcBorders>
              <w:left w:val="single" w:sz="8" w:color="E20074"/>
              <w:bottom w:val="single" w:sz="8" w:color="E20074"/>
            </w:tcBorders>
            <w:gridSpan w:val="3"/>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40" w:type="dxa"/>
            <w:vAlign w:val="bottom"/>
            <w:tcBorders>
              <w:right w:val="single" w:sz="8" w:color="E20074"/>
            </w:tcBorders>
          </w:tcPr>
          <w:p>
            <w:pPr>
              <w:spacing w:after="0"/>
              <w:rPr>
                <w:sz w:val="18"/>
                <w:szCs w:val="18"/>
                <w:color w:val="auto"/>
              </w:rPr>
            </w:pPr>
          </w:p>
        </w:tc>
        <w:tc>
          <w:tcPr>
            <w:tcW w:w="20" w:type="dxa"/>
            <w:vAlign w:val="bottom"/>
            <w:tcBorders>
              <w:bottom w:val="single" w:sz="8" w:color="E20074"/>
            </w:tcBorders>
            <w:shd w:val="clear" w:color="auto" w:fill="E20074"/>
          </w:tcPr>
          <w:p>
            <w:pPr>
              <w:spacing w:after="0"/>
              <w:rPr>
                <w:sz w:val="18"/>
                <w:szCs w:val="18"/>
                <w:color w:val="auto"/>
              </w:rPr>
            </w:pPr>
          </w:p>
        </w:tc>
        <w:tc>
          <w:tcPr>
            <w:tcW w:w="100" w:type="dxa"/>
            <w:vAlign w:val="bottom"/>
            <w:tcBorders>
              <w:bottom w:val="single" w:sz="8" w:color="E20074"/>
              <w:right w:val="single" w:sz="8" w:color="E20074"/>
            </w:tcBorders>
            <w:shd w:val="clear" w:color="auto" w:fill="E20074"/>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580" w:type="dxa"/>
            <w:vAlign w:val="bottom"/>
            <w:tcBorders>
              <w:bottom w:val="single" w:sz="8" w:color="E20074"/>
            </w:tcBorders>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bottom w:val="single" w:sz="8" w:color="DBDBDB"/>
              <w:right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666666"/>
              </w:rPr>
              <w:t>Churn</w:t>
            </w:r>
          </w:p>
        </w:tc>
        <w:tc>
          <w:tcPr>
            <w:tcW w:w="420" w:type="dxa"/>
            <w:vAlign w:val="bottom"/>
            <w:tcBorders>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left w:val="single" w:sz="8" w:color="DBDBDB"/>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Postpaid account churn</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0.94 %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0.92 %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0.97 %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666666"/>
              </w:rPr>
              <w:t>1.04 %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666666"/>
                <w:w w:val="95"/>
              </w:rPr>
              <w:t>1.04 %</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0.99 %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1.09 %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0.94 %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Borders>
              <w:right w:val="single" w:sz="8" w:color="E20074"/>
            </w:tcBorders>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8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320" w:type="dxa"/>
            <w:vAlign w:val="bottom"/>
            <w:shd w:val="clear" w:color="auto" w:fill="E20074"/>
          </w:tcPr>
          <w:p>
            <w:pPr>
              <w:spacing w:after="0"/>
              <w:rPr>
                <w:sz w:val="14"/>
                <w:szCs w:val="14"/>
                <w:color w:val="auto"/>
              </w:rPr>
            </w:pPr>
          </w:p>
        </w:tc>
        <w:tc>
          <w:tcPr>
            <w:tcW w:w="6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660" w:type="dxa"/>
            <w:vAlign w:val="bottom"/>
            <w:tcBorders>
              <w:right w:val="single" w:sz="8" w:color="E20074"/>
            </w:tcBorders>
            <w:gridSpan w:val="4"/>
            <w:vMerge w:val="restart"/>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2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2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6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4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520" w:type="dxa"/>
            <w:vAlign w:val="bottom"/>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E20074"/>
            </w:tcBorders>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500" w:type="dxa"/>
            <w:vAlign w:val="bottom"/>
            <w:gridSpan w:val="5"/>
            <w:shd w:val="clear" w:color="auto" w:fill="E20074"/>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40" w:type="dxa"/>
            <w:vAlign w:val="bottom"/>
            <w:tcBorders>
              <w:left w:val="single" w:sz="8" w:color="E20074"/>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20" w:type="dxa"/>
            <w:vAlign w:val="bottom"/>
            <w:tcBorders>
              <w:right w:val="single" w:sz="8" w:color="E20074"/>
            </w:tcBorders>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8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320" w:type="dxa"/>
            <w:vAlign w:val="bottom"/>
            <w:shd w:val="clear" w:color="auto" w:fill="E20074"/>
          </w:tcPr>
          <w:p>
            <w:pPr>
              <w:spacing w:after="0"/>
              <w:rPr>
                <w:sz w:val="17"/>
                <w:szCs w:val="17"/>
                <w:color w:val="auto"/>
              </w:rPr>
            </w:pPr>
          </w:p>
        </w:tc>
        <w:tc>
          <w:tcPr>
            <w:tcW w:w="6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660" w:type="dxa"/>
            <w:vAlign w:val="bottom"/>
            <w:tcBorders>
              <w:right w:val="single" w:sz="8" w:color="E20074"/>
            </w:tcBorders>
            <w:gridSpan w:val="4"/>
            <w:vMerge w:val="continue"/>
            <w:shd w:val="clear" w:color="auto" w:fill="E20074"/>
          </w:tcPr>
          <w:p>
            <w:pPr>
              <w:spacing w:after="0"/>
              <w:rPr>
                <w:sz w:val="17"/>
                <w:szCs w:val="17"/>
                <w:color w:val="auto"/>
              </w:rPr>
            </w:pPr>
          </w:p>
        </w:tc>
        <w:tc>
          <w:tcPr>
            <w:tcW w:w="12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2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6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4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520" w:type="dxa"/>
            <w:vAlign w:val="bottom"/>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E20074"/>
            </w:tcBorders>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00" w:type="dxa"/>
            <w:vAlign w:val="bottom"/>
            <w:gridSpan w:val="5"/>
            <w:shd w:val="clear" w:color="auto" w:fill="E20074"/>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40" w:type="dxa"/>
            <w:vAlign w:val="bottom"/>
            <w:tcBorders>
              <w:left w:val="single" w:sz="8" w:color="E20074"/>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20" w:type="dxa"/>
            <w:vAlign w:val="bottom"/>
            <w:tcBorders>
              <w:right w:val="single" w:sz="8" w:color="E20074"/>
            </w:tcBorders>
          </w:tcPr>
          <w:p>
            <w:pPr>
              <w:spacing w:after="0"/>
              <w:rPr>
                <w:sz w:val="18"/>
                <w:szCs w:val="18"/>
                <w:color w:val="auto"/>
              </w:rPr>
            </w:pPr>
          </w:p>
        </w:tc>
        <w:tc>
          <w:tcPr>
            <w:tcW w:w="720" w:type="dxa"/>
            <w:vAlign w:val="bottom"/>
            <w:tcBorders>
              <w:bottom w:val="single" w:sz="8" w:color="E20074"/>
            </w:tcBorders>
            <w:gridSpan w:val="4"/>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20" w:type="dxa"/>
            <w:vAlign w:val="bottom"/>
          </w:tcPr>
          <w:p>
            <w:pPr>
              <w:spacing w:after="0"/>
              <w:rPr>
                <w:sz w:val="18"/>
                <w:szCs w:val="18"/>
                <w:color w:val="auto"/>
              </w:rPr>
            </w:pP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tcBorders>
            <w:gridSpan w:val="3"/>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4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right w:val="single" w:sz="8" w:color="E20074"/>
            </w:tcBorders>
            <w:gridSpan w:val="4"/>
            <w:shd w:val="clear" w:color="auto" w:fill="E20074"/>
          </w:tcPr>
          <w:p>
            <w:pPr>
              <w:ind w:left="20"/>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4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right w:val="single" w:sz="8" w:color="E20074"/>
            </w:tcBorders>
            <w:gridSpan w:val="4"/>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gridSpan w:val="4"/>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20" w:type="dxa"/>
            <w:vAlign w:val="bottom"/>
          </w:tcPr>
          <w:p>
            <w:pPr>
              <w:spacing w:after="0"/>
              <w:rPr>
                <w:sz w:val="18"/>
                <w:szCs w:val="18"/>
                <w:color w:val="auto"/>
              </w:rPr>
            </w:pP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right w:val="single" w:sz="8" w:color="E20074"/>
            </w:tcBorders>
            <w:gridSpan w:val="3"/>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4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right w:val="single" w:sz="8" w:color="E20074"/>
            </w:tcBorders>
            <w:gridSpan w:val="2"/>
            <w:shd w:val="clear" w:color="auto" w:fill="E20074"/>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2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580" w:type="dxa"/>
            <w:vAlign w:val="bottom"/>
            <w:tcBorders>
              <w:bottom w:val="single" w:sz="8" w:color="E20074"/>
            </w:tcBorders>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Borders>
              <w:left w:val="single" w:sz="8" w:color="E20074"/>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 w:type="dxa"/>
            <w:vAlign w:val="bottom"/>
            <w:tcBorders>
              <w:left w:val="single" w:sz="8" w:color="E2007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314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666666"/>
              </w:rPr>
              <w:t>Operating measure</w:t>
            </w:r>
          </w:p>
        </w:tc>
        <w:tc>
          <w:tcPr>
            <w:tcW w:w="420" w:type="dxa"/>
            <w:vAlign w:val="bottom"/>
            <w:tcBorders>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left w:val="single" w:sz="8" w:color="DBDBDB"/>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666666"/>
              </w:rPr>
              <w:t>Postpaid ARPA</w:t>
            </w:r>
          </w:p>
        </w:tc>
        <w:tc>
          <w:tcPr>
            <w:tcW w:w="6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146.22</w:t>
            </w:r>
          </w:p>
        </w:tc>
        <w:tc>
          <w:tcPr>
            <w:tcW w:w="20" w:type="dxa"/>
            <w:vAlign w:val="bottom"/>
          </w:tcPr>
          <w:p>
            <w:pPr>
              <w:spacing w:after="0"/>
              <w:rPr>
                <w:sz w:val="16"/>
                <w:szCs w:val="16"/>
                <w:color w:val="auto"/>
              </w:rPr>
            </w:pPr>
          </w:p>
        </w:tc>
        <w:tc>
          <w:tcPr>
            <w:tcW w:w="2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149.87</w:t>
            </w:r>
          </w:p>
        </w:tc>
        <w:tc>
          <w:tcPr>
            <w:tcW w:w="40" w:type="dxa"/>
            <w:vAlign w:val="bottom"/>
          </w:tcPr>
          <w:p>
            <w:pPr>
              <w:spacing w:after="0"/>
              <w:rPr>
                <w:sz w:val="16"/>
                <w:szCs w:val="16"/>
                <w:color w:val="auto"/>
              </w:rPr>
            </w:pPr>
          </w:p>
        </w:tc>
        <w:tc>
          <w:tcPr>
            <w:tcW w:w="1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color w:val="666666"/>
              </w:rPr>
              <w:t>149.44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666666"/>
              </w:rPr>
              <w:t>150.17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666666"/>
              </w:rPr>
              <w:t>151.93</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666666"/>
              </w:rPr>
              <w:t>152.91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666666"/>
              </w:rPr>
              <w:t>155.73</w:t>
            </w:r>
          </w:p>
        </w:tc>
        <w:tc>
          <w:tcPr>
            <w:tcW w:w="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666666"/>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148.54</w:t>
            </w:r>
          </w:p>
        </w:tc>
        <w:tc>
          <w:tcPr>
            <w:tcW w:w="80" w:type="dxa"/>
            <w:vAlign w:val="bottom"/>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666666"/>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153.53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Borders>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8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320" w:type="dxa"/>
            <w:vAlign w:val="bottom"/>
            <w:shd w:val="clear" w:color="auto" w:fill="E20074"/>
          </w:tcPr>
          <w:p>
            <w:pPr>
              <w:spacing w:after="0"/>
              <w:rPr>
                <w:sz w:val="14"/>
                <w:szCs w:val="14"/>
                <w:color w:val="auto"/>
              </w:rPr>
            </w:pPr>
          </w:p>
        </w:tc>
        <w:tc>
          <w:tcPr>
            <w:tcW w:w="6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right w:val="single" w:sz="8" w:color="E20074"/>
            </w:tcBorders>
            <w:shd w:val="clear" w:color="auto" w:fill="E20074"/>
          </w:tcPr>
          <w:p>
            <w:pPr>
              <w:spacing w:after="0"/>
              <w:rPr>
                <w:sz w:val="14"/>
                <w:szCs w:val="14"/>
                <w:color w:val="auto"/>
              </w:rPr>
            </w:pPr>
          </w:p>
        </w:tc>
        <w:tc>
          <w:tcPr>
            <w:tcW w:w="880" w:type="dxa"/>
            <w:vAlign w:val="bottom"/>
            <w:tcBorders>
              <w:left w:val="single" w:sz="8" w:color="E20074"/>
              <w:right w:val="single" w:sz="8" w:color="E20074"/>
            </w:tcBorders>
            <w:gridSpan w:val="6"/>
            <w:vMerge w:val="restart"/>
            <w:shd w:val="clear" w:color="auto" w:fill="E20074"/>
          </w:tcPr>
          <w:p>
            <w:pPr>
              <w:ind w:left="2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2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2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6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4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520" w:type="dxa"/>
            <w:vAlign w:val="bottom"/>
            <w:shd w:val="clear" w:color="auto" w:fill="E20074"/>
          </w:tcPr>
          <w:p>
            <w:pPr>
              <w:spacing w:after="0"/>
              <w:rPr>
                <w:sz w:val="14"/>
                <w:szCs w:val="14"/>
                <w:color w:val="auto"/>
              </w:rPr>
            </w:pPr>
          </w:p>
        </w:tc>
        <w:tc>
          <w:tcPr>
            <w:tcW w:w="140" w:type="dxa"/>
            <w:vAlign w:val="bottom"/>
            <w:tcBorders>
              <w:left w:val="single" w:sz="8" w:color="E20074"/>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500" w:type="dxa"/>
            <w:vAlign w:val="bottom"/>
            <w:gridSpan w:val="5"/>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40" w:type="dxa"/>
            <w:vAlign w:val="bottom"/>
            <w:tcBorders>
              <w:left w:val="single" w:sz="8" w:color="E20074"/>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20" w:type="dxa"/>
            <w:vAlign w:val="bottom"/>
            <w:tcBorders>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8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320" w:type="dxa"/>
            <w:vAlign w:val="bottom"/>
            <w:shd w:val="clear" w:color="auto" w:fill="E20074"/>
          </w:tcPr>
          <w:p>
            <w:pPr>
              <w:spacing w:after="0"/>
              <w:rPr>
                <w:sz w:val="17"/>
                <w:szCs w:val="17"/>
                <w:color w:val="auto"/>
              </w:rPr>
            </w:pPr>
          </w:p>
        </w:tc>
        <w:tc>
          <w:tcPr>
            <w:tcW w:w="6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right w:val="single" w:sz="8" w:color="E20074"/>
            </w:tcBorders>
            <w:shd w:val="clear" w:color="auto" w:fill="E20074"/>
          </w:tcPr>
          <w:p>
            <w:pPr>
              <w:spacing w:after="0"/>
              <w:rPr>
                <w:sz w:val="17"/>
                <w:szCs w:val="17"/>
                <w:color w:val="auto"/>
              </w:rPr>
            </w:pPr>
          </w:p>
        </w:tc>
        <w:tc>
          <w:tcPr>
            <w:tcW w:w="880" w:type="dxa"/>
            <w:vAlign w:val="bottom"/>
            <w:tcBorders>
              <w:left w:val="single" w:sz="8" w:color="E20074"/>
              <w:right w:val="single" w:sz="8" w:color="E20074"/>
            </w:tcBorders>
            <w:gridSpan w:val="6"/>
            <w:vMerge w:val="continue"/>
            <w:shd w:val="clear" w:color="auto" w:fill="E20074"/>
          </w:tcPr>
          <w:p>
            <w:pPr>
              <w:spacing w:after="0"/>
              <w:rPr>
                <w:sz w:val="17"/>
                <w:szCs w:val="17"/>
                <w:color w:val="auto"/>
              </w:rPr>
            </w:pPr>
          </w:p>
        </w:tc>
        <w:tc>
          <w:tcPr>
            <w:tcW w:w="12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2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6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4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520" w:type="dxa"/>
            <w:vAlign w:val="bottom"/>
            <w:shd w:val="clear" w:color="auto" w:fill="E20074"/>
          </w:tcPr>
          <w:p>
            <w:pPr>
              <w:spacing w:after="0"/>
              <w:rPr>
                <w:sz w:val="17"/>
                <w:szCs w:val="17"/>
                <w:color w:val="auto"/>
              </w:rPr>
            </w:pPr>
          </w:p>
        </w:tc>
        <w:tc>
          <w:tcPr>
            <w:tcW w:w="140" w:type="dxa"/>
            <w:vAlign w:val="bottom"/>
            <w:tcBorders>
              <w:left w:val="single" w:sz="8" w:color="E20074"/>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00" w:type="dxa"/>
            <w:vAlign w:val="bottom"/>
            <w:gridSpan w:val="5"/>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40" w:type="dxa"/>
            <w:vAlign w:val="bottom"/>
            <w:tcBorders>
              <w:left w:val="single" w:sz="8" w:color="E20074"/>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Borders>
              <w:bottom w:val="single" w:sz="8" w:color="E20074"/>
            </w:tcBorders>
            <w:gridSpan w:val="2"/>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80" w:type="dxa"/>
            <w:vAlign w:val="bottom"/>
            <w:tcBorders>
              <w:bottom w:val="single" w:sz="8" w:color="E20074"/>
            </w:tcBorders>
            <w:shd w:val="clear" w:color="auto" w:fill="E20074"/>
          </w:tcPr>
          <w:p>
            <w:pPr>
              <w:spacing w:after="0"/>
              <w:rPr>
                <w:sz w:val="18"/>
                <w:szCs w:val="18"/>
                <w:color w:val="auto"/>
              </w:rPr>
            </w:pPr>
          </w:p>
        </w:tc>
        <w:tc>
          <w:tcPr>
            <w:tcW w:w="160" w:type="dxa"/>
            <w:vAlign w:val="bottom"/>
            <w:tcBorders>
              <w:left w:val="single" w:sz="8" w:color="E20074"/>
            </w:tcBorders>
          </w:tcPr>
          <w:p>
            <w:pPr>
              <w:spacing w:after="0"/>
              <w:rPr>
                <w:sz w:val="18"/>
                <w:szCs w:val="18"/>
                <w:color w:val="auto"/>
              </w:rPr>
            </w:pPr>
          </w:p>
        </w:tc>
        <w:tc>
          <w:tcPr>
            <w:tcW w:w="740" w:type="dxa"/>
            <w:vAlign w:val="bottom"/>
            <w:tcBorders>
              <w:bottom w:val="single" w:sz="8" w:color="E20074"/>
              <w:right w:val="single" w:sz="8" w:color="E20074"/>
            </w:tcBorders>
            <w:gridSpan w:val="5"/>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60" w:type="dxa"/>
            <w:vAlign w:val="bottom"/>
            <w:tcBorders>
              <w:left w:val="single" w:sz="8" w:color="E20074"/>
            </w:tcBorders>
          </w:tcPr>
          <w:p>
            <w:pPr>
              <w:spacing w:after="0"/>
              <w:rPr>
                <w:sz w:val="18"/>
                <w:szCs w:val="18"/>
                <w:color w:val="auto"/>
              </w:rPr>
            </w:pPr>
          </w:p>
        </w:tc>
        <w:tc>
          <w:tcPr>
            <w:tcW w:w="800" w:type="dxa"/>
            <w:vAlign w:val="bottom"/>
            <w:tcBorders>
              <w:bottom w:val="single" w:sz="8" w:color="E20074"/>
            </w:tcBorders>
            <w:gridSpan w:val="6"/>
            <w:shd w:val="clear" w:color="auto" w:fill="E20074"/>
          </w:tcPr>
          <w:p>
            <w:pPr>
              <w:ind w:left="160"/>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00" w:type="dxa"/>
            <w:vAlign w:val="bottom"/>
          </w:tcPr>
          <w:p>
            <w:pPr>
              <w:spacing w:after="0"/>
              <w:rPr>
                <w:sz w:val="18"/>
                <w:szCs w:val="18"/>
                <w:color w:val="auto"/>
              </w:rPr>
            </w:pPr>
          </w:p>
        </w:tc>
        <w:tc>
          <w:tcPr>
            <w:tcW w:w="160" w:type="dxa"/>
            <w:vAlign w:val="bottom"/>
            <w:tcBorders>
              <w:bottom w:val="single" w:sz="8" w:color="E20074"/>
              <w:right w:val="single" w:sz="8" w:color="E20074"/>
            </w:tcBorders>
            <w:shd w:val="clear" w:color="auto" w:fill="E20074"/>
          </w:tcPr>
          <w:p>
            <w:pPr>
              <w:spacing w:after="0"/>
              <w:rPr>
                <w:sz w:val="18"/>
                <w:szCs w:val="18"/>
                <w:color w:val="auto"/>
              </w:rPr>
            </w:pPr>
          </w:p>
        </w:tc>
        <w:tc>
          <w:tcPr>
            <w:tcW w:w="640" w:type="dxa"/>
            <w:vAlign w:val="bottom"/>
            <w:tcBorders>
              <w:left w:val="single" w:sz="8" w:color="E20074"/>
              <w:bottom w:val="single" w:sz="8" w:color="E20074"/>
            </w:tcBorders>
            <w:gridSpan w:val="4"/>
            <w:shd w:val="clear" w:color="auto" w:fill="E20074"/>
          </w:tcPr>
          <w:p>
            <w:pPr>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20" w:type="dxa"/>
            <w:vAlign w:val="bottom"/>
          </w:tcPr>
          <w:p>
            <w:pPr>
              <w:spacing w:after="0"/>
              <w:rPr>
                <w:sz w:val="18"/>
                <w:szCs w:val="18"/>
                <w:color w:val="auto"/>
              </w:rPr>
            </w:pPr>
          </w:p>
        </w:tc>
        <w:tc>
          <w:tcPr>
            <w:tcW w:w="120" w:type="dxa"/>
            <w:vAlign w:val="bottom"/>
            <w:tcBorders>
              <w:bottom w:val="single" w:sz="8" w:color="E20074"/>
              <w:right w:val="single" w:sz="8" w:color="E20074"/>
            </w:tcBorders>
            <w:shd w:val="clear" w:color="auto" w:fill="E20074"/>
          </w:tcPr>
          <w:p>
            <w:pPr>
              <w:spacing w:after="0"/>
              <w:rPr>
                <w:sz w:val="18"/>
                <w:szCs w:val="18"/>
                <w:color w:val="auto"/>
              </w:rPr>
            </w:pPr>
          </w:p>
        </w:tc>
        <w:tc>
          <w:tcPr>
            <w:tcW w:w="660" w:type="dxa"/>
            <w:vAlign w:val="bottom"/>
            <w:tcBorders>
              <w:left w:val="single" w:sz="8" w:color="E20074"/>
              <w:bottom w:val="single" w:sz="8" w:color="E20074"/>
            </w:tcBorders>
            <w:gridSpan w:val="4"/>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20" w:type="dxa"/>
            <w:vAlign w:val="bottom"/>
          </w:tcPr>
          <w:p>
            <w:pPr>
              <w:spacing w:after="0"/>
              <w:rPr>
                <w:sz w:val="18"/>
                <w:szCs w:val="18"/>
                <w:color w:val="auto"/>
              </w:rPr>
            </w:pPr>
          </w:p>
        </w:tc>
        <w:tc>
          <w:tcPr>
            <w:tcW w:w="100" w:type="dxa"/>
            <w:vAlign w:val="bottom"/>
            <w:tcBorders>
              <w:bottom w:val="single" w:sz="8" w:color="E20074"/>
            </w:tcBorders>
            <w:gridSpan w:val="2"/>
            <w:shd w:val="clear" w:color="auto" w:fill="E20074"/>
          </w:tcPr>
          <w:p>
            <w:pPr>
              <w:spacing w:after="0"/>
              <w:rPr>
                <w:sz w:val="18"/>
                <w:szCs w:val="18"/>
                <w:color w:val="auto"/>
              </w:rPr>
            </w:pPr>
          </w:p>
        </w:tc>
        <w:tc>
          <w:tcPr>
            <w:tcW w:w="700" w:type="dxa"/>
            <w:vAlign w:val="bottom"/>
            <w:tcBorders>
              <w:bottom w:val="single" w:sz="8" w:color="E20074"/>
            </w:tcBorders>
            <w:gridSpan w:val="4"/>
            <w:shd w:val="clear" w:color="auto" w:fill="E20074"/>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40" w:type="dxa"/>
            <w:vAlign w:val="bottom"/>
            <w:tcBorders>
              <w:right w:val="single" w:sz="8" w:color="E20074"/>
            </w:tcBorders>
          </w:tcPr>
          <w:p>
            <w:pPr>
              <w:spacing w:after="0"/>
              <w:rPr>
                <w:sz w:val="18"/>
                <w:szCs w:val="18"/>
                <w:color w:val="auto"/>
              </w:rPr>
            </w:pPr>
          </w:p>
        </w:tc>
        <w:tc>
          <w:tcPr>
            <w:tcW w:w="140" w:type="dxa"/>
            <w:vAlign w:val="bottom"/>
            <w:tcBorders>
              <w:left w:val="single" w:sz="8" w:color="E20074"/>
              <w:bottom w:val="single" w:sz="8" w:color="E20074"/>
              <w:right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gridSpan w:val="2"/>
            <w:shd w:val="clear" w:color="auto" w:fill="E20074"/>
          </w:tcPr>
          <w:p>
            <w:pPr>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60" w:type="dxa"/>
            <w:vAlign w:val="bottom"/>
            <w:tcBorders>
              <w:left w:val="single" w:sz="8" w:color="E20074"/>
            </w:tcBorders>
            <w:gridSpan w:val="2"/>
          </w:tcPr>
          <w:p>
            <w:pPr>
              <w:spacing w:after="0"/>
              <w:rPr>
                <w:sz w:val="18"/>
                <w:szCs w:val="18"/>
                <w:color w:val="auto"/>
              </w:rPr>
            </w:pPr>
          </w:p>
        </w:tc>
        <w:tc>
          <w:tcPr>
            <w:tcW w:w="100" w:type="dxa"/>
            <w:vAlign w:val="bottom"/>
            <w:tcBorders>
              <w:bottom w:val="single" w:sz="8" w:color="E20074"/>
              <w:right w:val="single" w:sz="8" w:color="E20074"/>
            </w:tcBorders>
            <w:shd w:val="clear" w:color="auto" w:fill="E20074"/>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580" w:type="dxa"/>
            <w:vAlign w:val="bottom"/>
            <w:tcBorders>
              <w:bottom w:val="single" w:sz="8" w:color="E20074"/>
            </w:tcBorders>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 w:type="dxa"/>
            <w:vAlign w:val="bottom"/>
            <w:tcBorders>
              <w:left w:val="single" w:sz="8" w:color="E2007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314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666666"/>
              </w:rPr>
              <w:t>Postpaid upgrade rate</w:t>
            </w:r>
          </w:p>
        </w:tc>
        <w:tc>
          <w:tcPr>
            <w:tcW w:w="420" w:type="dxa"/>
            <w:vAlign w:val="bottom"/>
            <w:tcBorders>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left w:val="single" w:sz="8" w:color="DBDBDB"/>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666666"/>
              </w:rPr>
              <w:t>Postpaid device upgrade rate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2.8 %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2.5 %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666666"/>
              </w:rPr>
              <w:t>2.7 %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666666"/>
              </w:rPr>
              <w:t>3.8 %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2.8 %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2.6 %</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2.8 %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8.3 %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Borders>
              <w:right w:val="single" w:sz="8" w:color="E20074"/>
            </w:tcBorders>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4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8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left w:val="single" w:sz="8" w:color="E20074"/>
              <w:right w:val="single" w:sz="8" w:color="E20074"/>
            </w:tcBorders>
            <w:shd w:val="clear" w:color="auto" w:fill="E20074"/>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320" w:type="dxa"/>
            <w:vAlign w:val="bottom"/>
            <w:shd w:val="clear" w:color="auto" w:fill="E20074"/>
          </w:tcPr>
          <w:p>
            <w:pPr>
              <w:spacing w:after="0"/>
              <w:rPr>
                <w:sz w:val="14"/>
                <w:szCs w:val="14"/>
                <w:color w:val="auto"/>
              </w:rPr>
            </w:pPr>
          </w:p>
        </w:tc>
        <w:tc>
          <w:tcPr>
            <w:tcW w:w="60" w:type="dxa"/>
            <w:vAlign w:val="bottom"/>
            <w:shd w:val="clear" w:color="auto" w:fill="E20074"/>
          </w:tcPr>
          <w:p>
            <w:pPr>
              <w:spacing w:after="0"/>
              <w:rPr>
                <w:sz w:val="14"/>
                <w:szCs w:val="14"/>
                <w:color w:val="auto"/>
              </w:rPr>
            </w:pPr>
          </w:p>
        </w:tc>
        <w:tc>
          <w:tcPr>
            <w:tcW w:w="100" w:type="dxa"/>
            <w:vAlign w:val="bottom"/>
            <w:tcBorders>
              <w:right w:val="single" w:sz="8" w:color="E20074"/>
            </w:tcBorders>
            <w:shd w:val="clear" w:color="auto" w:fill="E20074"/>
          </w:tcPr>
          <w:p>
            <w:pPr>
              <w:spacing w:after="0"/>
              <w:rPr>
                <w:sz w:val="14"/>
                <w:szCs w:val="14"/>
                <w:color w:val="auto"/>
              </w:rPr>
            </w:pPr>
          </w:p>
        </w:tc>
        <w:tc>
          <w:tcPr>
            <w:tcW w:w="16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660" w:type="dxa"/>
            <w:vAlign w:val="bottom"/>
            <w:tcBorders>
              <w:right w:val="single" w:sz="8" w:color="E20074"/>
            </w:tcBorders>
            <w:gridSpan w:val="4"/>
            <w:vMerge w:val="restart"/>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2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2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20" w:type="dxa"/>
            <w:vAlign w:val="bottom"/>
            <w:shd w:val="clear" w:color="auto" w:fill="E20074"/>
          </w:tcPr>
          <w:p>
            <w:pPr>
              <w:spacing w:after="0"/>
              <w:rPr>
                <w:sz w:val="14"/>
                <w:szCs w:val="14"/>
                <w:color w:val="auto"/>
              </w:rPr>
            </w:pPr>
          </w:p>
        </w:tc>
        <w:tc>
          <w:tcPr>
            <w:tcW w:w="120" w:type="dxa"/>
            <w:vAlign w:val="bottom"/>
            <w:tcBorders>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460" w:type="dxa"/>
            <w:vAlign w:val="bottom"/>
            <w:shd w:val="clear" w:color="auto" w:fill="E20074"/>
          </w:tcPr>
          <w:p>
            <w:pPr>
              <w:spacing w:after="0"/>
              <w:rPr>
                <w:sz w:val="14"/>
                <w:szCs w:val="14"/>
                <w:color w:val="auto"/>
              </w:rPr>
            </w:pPr>
          </w:p>
        </w:tc>
        <w:tc>
          <w:tcPr>
            <w:tcW w:w="40" w:type="dxa"/>
            <w:vAlign w:val="bottom"/>
            <w:shd w:val="clear" w:color="auto" w:fill="E20074"/>
          </w:tcPr>
          <w:p>
            <w:pPr>
              <w:spacing w:after="0"/>
              <w:rPr>
                <w:sz w:val="14"/>
                <w:szCs w:val="14"/>
                <w:color w:val="auto"/>
              </w:rPr>
            </w:pPr>
          </w:p>
        </w:tc>
        <w:tc>
          <w:tcPr>
            <w:tcW w:w="140" w:type="dxa"/>
            <w:vAlign w:val="bottom"/>
            <w:tcBorders>
              <w:right w:val="single" w:sz="8" w:color="E20074"/>
            </w:tcBorders>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80" w:type="dxa"/>
            <w:vAlign w:val="bottom"/>
            <w:shd w:val="clear" w:color="auto" w:fill="E20074"/>
          </w:tcPr>
          <w:p>
            <w:pPr>
              <w:spacing w:after="0"/>
              <w:rPr>
                <w:sz w:val="14"/>
                <w:szCs w:val="14"/>
                <w:color w:val="auto"/>
              </w:rPr>
            </w:pPr>
          </w:p>
        </w:tc>
        <w:tc>
          <w:tcPr>
            <w:tcW w:w="520" w:type="dxa"/>
            <w:vAlign w:val="bottom"/>
            <w:shd w:val="clear" w:color="auto" w:fill="E20074"/>
          </w:tcPr>
          <w:p>
            <w:pPr>
              <w:spacing w:after="0"/>
              <w:rPr>
                <w:sz w:val="14"/>
                <w:szCs w:val="14"/>
                <w:color w:val="auto"/>
              </w:rPr>
            </w:pPr>
          </w:p>
        </w:tc>
        <w:tc>
          <w:tcPr>
            <w:tcW w:w="140" w:type="dxa"/>
            <w:vAlign w:val="bottom"/>
            <w:tcBorders>
              <w:left w:val="single" w:sz="8" w:color="E20074"/>
              <w:right w:val="single" w:sz="8" w:color="E20074"/>
            </w:tcBorders>
            <w:shd w:val="clear" w:color="auto" w:fill="E2007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E20074"/>
            </w:tcBorders>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500" w:type="dxa"/>
            <w:vAlign w:val="bottom"/>
            <w:gridSpan w:val="5"/>
            <w:shd w:val="clear" w:color="auto" w:fill="E20074"/>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40" w:type="dxa"/>
            <w:vAlign w:val="bottom"/>
            <w:tcBorders>
              <w:left w:val="single" w:sz="8" w:color="E20074"/>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20" w:type="dxa"/>
            <w:vAlign w:val="bottom"/>
            <w:tcBorders>
              <w:right w:val="single" w:sz="8" w:color="E20074"/>
            </w:tcBorders>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8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left w:val="single" w:sz="8" w:color="E20074"/>
              <w:right w:val="single" w:sz="8" w:color="E20074"/>
            </w:tcBorders>
            <w:shd w:val="clear" w:color="auto" w:fill="E20074"/>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320" w:type="dxa"/>
            <w:vAlign w:val="bottom"/>
            <w:shd w:val="clear" w:color="auto" w:fill="E20074"/>
          </w:tcPr>
          <w:p>
            <w:pPr>
              <w:spacing w:after="0"/>
              <w:rPr>
                <w:sz w:val="17"/>
                <w:szCs w:val="17"/>
                <w:color w:val="auto"/>
              </w:rPr>
            </w:pPr>
          </w:p>
        </w:tc>
        <w:tc>
          <w:tcPr>
            <w:tcW w:w="60" w:type="dxa"/>
            <w:vAlign w:val="bottom"/>
            <w:shd w:val="clear" w:color="auto" w:fill="E20074"/>
          </w:tcPr>
          <w:p>
            <w:pPr>
              <w:spacing w:after="0"/>
              <w:rPr>
                <w:sz w:val="17"/>
                <w:szCs w:val="17"/>
                <w:color w:val="auto"/>
              </w:rPr>
            </w:pPr>
          </w:p>
        </w:tc>
        <w:tc>
          <w:tcPr>
            <w:tcW w:w="100" w:type="dxa"/>
            <w:vAlign w:val="bottom"/>
            <w:tcBorders>
              <w:right w:val="single" w:sz="8" w:color="E20074"/>
            </w:tcBorders>
            <w:shd w:val="clear" w:color="auto" w:fill="E20074"/>
          </w:tcPr>
          <w:p>
            <w:pPr>
              <w:spacing w:after="0"/>
              <w:rPr>
                <w:sz w:val="17"/>
                <w:szCs w:val="17"/>
                <w:color w:val="auto"/>
              </w:rPr>
            </w:pPr>
          </w:p>
        </w:tc>
        <w:tc>
          <w:tcPr>
            <w:tcW w:w="16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660" w:type="dxa"/>
            <w:vAlign w:val="bottom"/>
            <w:tcBorders>
              <w:right w:val="single" w:sz="8" w:color="E20074"/>
            </w:tcBorders>
            <w:gridSpan w:val="4"/>
            <w:vMerge w:val="continue"/>
            <w:shd w:val="clear" w:color="auto" w:fill="E20074"/>
          </w:tcPr>
          <w:p>
            <w:pPr>
              <w:spacing w:after="0"/>
              <w:rPr>
                <w:sz w:val="17"/>
                <w:szCs w:val="17"/>
                <w:color w:val="auto"/>
              </w:rPr>
            </w:pPr>
          </w:p>
        </w:tc>
        <w:tc>
          <w:tcPr>
            <w:tcW w:w="12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2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20" w:type="dxa"/>
            <w:vAlign w:val="bottom"/>
            <w:shd w:val="clear" w:color="auto" w:fill="E20074"/>
          </w:tcPr>
          <w:p>
            <w:pPr>
              <w:spacing w:after="0"/>
              <w:rPr>
                <w:sz w:val="17"/>
                <w:szCs w:val="17"/>
                <w:color w:val="auto"/>
              </w:rPr>
            </w:pPr>
          </w:p>
        </w:tc>
        <w:tc>
          <w:tcPr>
            <w:tcW w:w="120" w:type="dxa"/>
            <w:vAlign w:val="bottom"/>
            <w:tcBorders>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460" w:type="dxa"/>
            <w:vAlign w:val="bottom"/>
            <w:shd w:val="clear" w:color="auto" w:fill="E20074"/>
          </w:tcPr>
          <w:p>
            <w:pPr>
              <w:spacing w:after="0"/>
              <w:rPr>
                <w:sz w:val="17"/>
                <w:szCs w:val="17"/>
                <w:color w:val="auto"/>
              </w:rPr>
            </w:pPr>
          </w:p>
        </w:tc>
        <w:tc>
          <w:tcPr>
            <w:tcW w:w="40" w:type="dxa"/>
            <w:vAlign w:val="bottom"/>
            <w:shd w:val="clear" w:color="auto" w:fill="E20074"/>
          </w:tcPr>
          <w:p>
            <w:pPr>
              <w:spacing w:after="0"/>
              <w:rPr>
                <w:sz w:val="17"/>
                <w:szCs w:val="17"/>
                <w:color w:val="auto"/>
              </w:rPr>
            </w:pPr>
          </w:p>
        </w:tc>
        <w:tc>
          <w:tcPr>
            <w:tcW w:w="140" w:type="dxa"/>
            <w:vAlign w:val="bottom"/>
            <w:tcBorders>
              <w:right w:val="single" w:sz="8" w:color="E20074"/>
            </w:tcBorders>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80" w:type="dxa"/>
            <w:vAlign w:val="bottom"/>
            <w:shd w:val="clear" w:color="auto" w:fill="E20074"/>
          </w:tcPr>
          <w:p>
            <w:pPr>
              <w:spacing w:after="0"/>
              <w:rPr>
                <w:sz w:val="17"/>
                <w:szCs w:val="17"/>
                <w:color w:val="auto"/>
              </w:rPr>
            </w:pPr>
          </w:p>
        </w:tc>
        <w:tc>
          <w:tcPr>
            <w:tcW w:w="520" w:type="dxa"/>
            <w:vAlign w:val="bottom"/>
            <w:shd w:val="clear" w:color="auto" w:fill="E20074"/>
          </w:tcPr>
          <w:p>
            <w:pPr>
              <w:spacing w:after="0"/>
              <w:rPr>
                <w:sz w:val="17"/>
                <w:szCs w:val="17"/>
                <w:color w:val="auto"/>
              </w:rPr>
            </w:pPr>
          </w:p>
        </w:tc>
        <w:tc>
          <w:tcPr>
            <w:tcW w:w="140" w:type="dxa"/>
            <w:vAlign w:val="bottom"/>
            <w:tcBorders>
              <w:left w:val="single" w:sz="8" w:color="E20074"/>
              <w:right w:val="single" w:sz="8" w:color="E20074"/>
            </w:tcBorders>
            <w:shd w:val="clear" w:color="auto" w:fill="E2007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E20074"/>
            </w:tcBorders>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00" w:type="dxa"/>
            <w:vAlign w:val="bottom"/>
            <w:gridSpan w:val="5"/>
            <w:shd w:val="clear" w:color="auto" w:fill="E20074"/>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40" w:type="dxa"/>
            <w:vAlign w:val="bottom"/>
            <w:tcBorders>
              <w:left w:val="single" w:sz="8" w:color="E20074"/>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666666"/>
              </w:rPr>
              <w:t>(in millions)</w:t>
            </w:r>
          </w:p>
        </w:tc>
        <w:tc>
          <w:tcPr>
            <w:tcW w:w="420" w:type="dxa"/>
            <w:vAlign w:val="bottom"/>
            <w:tcBorders>
              <w:right w:val="single" w:sz="8" w:color="E20074"/>
            </w:tcBorders>
          </w:tcPr>
          <w:p>
            <w:pPr>
              <w:spacing w:after="0"/>
              <w:rPr>
                <w:sz w:val="18"/>
                <w:szCs w:val="18"/>
                <w:color w:val="auto"/>
              </w:rPr>
            </w:pPr>
          </w:p>
        </w:tc>
        <w:tc>
          <w:tcPr>
            <w:tcW w:w="720" w:type="dxa"/>
            <w:vAlign w:val="bottom"/>
            <w:tcBorders>
              <w:bottom w:val="single" w:sz="8" w:color="E20074"/>
            </w:tcBorders>
            <w:gridSpan w:val="4"/>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20" w:type="dxa"/>
            <w:vAlign w:val="bottom"/>
          </w:tcPr>
          <w:p>
            <w:pPr>
              <w:spacing w:after="0"/>
              <w:rPr>
                <w:sz w:val="18"/>
                <w:szCs w:val="18"/>
                <w:color w:val="auto"/>
              </w:rPr>
            </w:pP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tcBorders>
            <w:gridSpan w:val="3"/>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4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right w:val="single" w:sz="8" w:color="E20074"/>
            </w:tcBorders>
            <w:gridSpan w:val="4"/>
            <w:shd w:val="clear" w:color="auto" w:fill="E20074"/>
          </w:tcPr>
          <w:p>
            <w:pPr>
              <w:ind w:left="20"/>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4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right w:val="single" w:sz="8" w:color="E20074"/>
            </w:tcBorders>
            <w:gridSpan w:val="4"/>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gridSpan w:val="4"/>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20" w:type="dxa"/>
            <w:vAlign w:val="bottom"/>
          </w:tcPr>
          <w:p>
            <w:pPr>
              <w:spacing w:after="0"/>
              <w:rPr>
                <w:sz w:val="18"/>
                <w:szCs w:val="18"/>
                <w:color w:val="auto"/>
              </w:rPr>
            </w:pPr>
          </w:p>
        </w:tc>
        <w:tc>
          <w:tcPr>
            <w:tcW w:w="12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right w:val="single" w:sz="8" w:color="E20074"/>
            </w:tcBorders>
            <w:gridSpan w:val="3"/>
            <w:shd w:val="clear" w:color="auto" w:fill="E20074"/>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40" w:type="dxa"/>
            <w:vAlign w:val="bottom"/>
            <w:tcBorders>
              <w:right w:val="single" w:sz="8" w:color="E20074"/>
            </w:tcBorders>
          </w:tcPr>
          <w:p>
            <w:pPr>
              <w:spacing w:after="0"/>
              <w:rPr>
                <w:sz w:val="18"/>
                <w:szCs w:val="18"/>
                <w:color w:val="auto"/>
              </w:rPr>
            </w:pPr>
          </w:p>
        </w:tc>
        <w:tc>
          <w:tcPr>
            <w:tcW w:w="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right w:val="single" w:sz="8" w:color="E20074"/>
            </w:tcBorders>
            <w:gridSpan w:val="2"/>
            <w:shd w:val="clear" w:color="auto" w:fill="E20074"/>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20" w:type="dxa"/>
            <w:vAlign w:val="bottom"/>
          </w:tcPr>
          <w:p>
            <w:pPr>
              <w:spacing w:after="0"/>
              <w:rPr>
                <w:sz w:val="18"/>
                <w:szCs w:val="18"/>
                <w:color w:val="auto"/>
              </w:rPr>
            </w:pPr>
          </w:p>
        </w:tc>
        <w:tc>
          <w:tcPr>
            <w:tcW w:w="100" w:type="dxa"/>
            <w:vAlign w:val="bottom"/>
            <w:tcBorders>
              <w:right w:val="single" w:sz="8" w:color="E20074"/>
            </w:tcBorders>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580" w:type="dxa"/>
            <w:vAlign w:val="bottom"/>
            <w:tcBorders>
              <w:bottom w:val="single" w:sz="8" w:color="E20074"/>
            </w:tcBorders>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Borders>
              <w:left w:val="single" w:sz="8" w:color="E20074"/>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600" w:type="dxa"/>
            <w:vAlign w:val="bottom"/>
            <w:tcBorders>
              <w:bottom w:val="single" w:sz="8" w:color="E20074"/>
            </w:tcBorders>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 w:type="dxa"/>
            <w:vAlign w:val="bottom"/>
            <w:tcBorders>
              <w:left w:val="single" w:sz="8" w:color="E2007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314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666666"/>
              </w:rPr>
              <w:t>Device financing - equipment installment plans</w:t>
            </w:r>
          </w:p>
        </w:tc>
        <w:tc>
          <w:tcPr>
            <w:tcW w:w="420" w:type="dxa"/>
            <w:vAlign w:val="bottom"/>
            <w:tcBorders>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6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left w:val="single" w:sz="8" w:color="DBDBDB"/>
              <w:bottom w:val="single" w:sz="8" w:color="DBDBDB"/>
              <w:right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left w:val="single" w:sz="8" w:color="DBDBDB"/>
              <w:bottom w:val="single" w:sz="8" w:color="DBDBDB"/>
            </w:tcBorders>
            <w:shd w:val="clear" w:color="auto" w:fill="DBDBDB"/>
          </w:tcPr>
          <w:p>
            <w:pPr>
              <w:spacing w:after="0"/>
              <w:rPr>
                <w:sz w:val="18"/>
                <w:szCs w:val="18"/>
                <w:color w:val="auto"/>
              </w:rPr>
            </w:pPr>
          </w:p>
        </w:tc>
        <w:tc>
          <w:tcPr>
            <w:tcW w:w="100" w:type="dxa"/>
            <w:vAlign w:val="bottom"/>
            <w:tcBorders>
              <w:bottom w:val="single" w:sz="8" w:color="DBDBDB"/>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666666"/>
              </w:rPr>
              <w:t>Gross EIP financed</w:t>
            </w:r>
          </w:p>
        </w:tc>
        <w:tc>
          <w:tcPr>
            <w:tcW w:w="6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3,565</w:t>
            </w:r>
          </w:p>
        </w:tc>
        <w:tc>
          <w:tcPr>
            <w:tcW w:w="20" w:type="dxa"/>
            <w:vAlign w:val="bottom"/>
          </w:tcPr>
          <w:p>
            <w:pPr>
              <w:spacing w:after="0"/>
              <w:rPr>
                <w:sz w:val="16"/>
                <w:szCs w:val="16"/>
                <w:color w:val="auto"/>
              </w:rPr>
            </w:pPr>
          </w:p>
        </w:tc>
        <w:tc>
          <w:tcPr>
            <w:tcW w:w="2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666666"/>
              </w:rPr>
              <w:t>$</w:t>
            </w:r>
          </w:p>
        </w:tc>
        <w:tc>
          <w:tcPr>
            <w:tcW w:w="28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w w:val="88"/>
              </w:rPr>
              <w:t>3,503</w:t>
            </w:r>
          </w:p>
        </w:tc>
        <w:tc>
          <w:tcPr>
            <w:tcW w:w="40" w:type="dxa"/>
            <w:vAlign w:val="bottom"/>
          </w:tcPr>
          <w:p>
            <w:pPr>
              <w:spacing w:after="0"/>
              <w:rPr>
                <w:sz w:val="16"/>
                <w:szCs w:val="16"/>
                <w:color w:val="auto"/>
              </w:rPr>
            </w:pPr>
          </w:p>
        </w:tc>
        <w:tc>
          <w:tcPr>
            <w:tcW w:w="1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color w:val="666666"/>
              </w:rPr>
              <w:t>3,871</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666666"/>
              </w:rPr>
              <w:t>5,774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666666"/>
              </w:rPr>
              <w:t>4,322</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666666"/>
              </w:rPr>
              <w:t>3,958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666666"/>
              </w:rPr>
              <w:t>4,576</w:t>
            </w:r>
          </w:p>
        </w:tc>
        <w:tc>
          <w:tcPr>
            <w:tcW w:w="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666666"/>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10,939</w:t>
            </w:r>
          </w:p>
        </w:tc>
        <w:tc>
          <w:tcPr>
            <w:tcW w:w="80" w:type="dxa"/>
            <w:vAlign w:val="bottom"/>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666666"/>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12,856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314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666666"/>
              </w:rPr>
              <w:t>EIP billings</w:t>
            </w:r>
          </w:p>
        </w:tc>
        <w:tc>
          <w:tcPr>
            <w:tcW w:w="420" w:type="dxa"/>
            <w:vAlign w:val="bottom"/>
            <w:tcBorders>
              <w:bottom w:val="single" w:sz="8" w:color="DBDBDB"/>
              <w:right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3,551</w:t>
            </w:r>
          </w:p>
        </w:tc>
        <w:tc>
          <w:tcPr>
            <w:tcW w:w="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right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DBDBDB"/>
              <w:right w:val="single" w:sz="8" w:color="DBDBDB"/>
            </w:tcBorders>
            <w:shd w:val="clear" w:color="auto" w:fill="DBDBDB"/>
          </w:tcPr>
          <w:p>
            <w:pPr>
              <w:spacing w:after="0"/>
              <w:rPr>
                <w:sz w:val="17"/>
                <w:szCs w:val="17"/>
                <w:color w:val="auto"/>
              </w:rPr>
            </w:pPr>
          </w:p>
        </w:tc>
        <w:tc>
          <w:tcPr>
            <w:tcW w:w="360" w:type="dxa"/>
            <w:vAlign w:val="bottom"/>
            <w:tcBorders>
              <w:left w:val="single" w:sz="8" w:color="DBDBDB"/>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w w:val="88"/>
              </w:rPr>
              <w:t>3,553</w:t>
            </w:r>
          </w:p>
        </w:tc>
        <w:tc>
          <w:tcPr>
            <w:tcW w:w="4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right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right w:val="single" w:sz="8" w:color="DBDBDB"/>
            </w:tcBorders>
            <w:gridSpan w:val="4"/>
            <w:shd w:val="clear" w:color="auto" w:fill="DBDBDB"/>
          </w:tcPr>
          <w:p>
            <w:pPr>
              <w:jc w:val="right"/>
              <w:ind w:right="3"/>
              <w:spacing w:after="0"/>
              <w:rPr>
                <w:sz w:val="20"/>
                <w:szCs w:val="20"/>
                <w:color w:val="auto"/>
              </w:rPr>
            </w:pPr>
            <w:r>
              <w:rPr>
                <w:rFonts w:ascii="Times New Roman" w:cs="Times New Roman" w:eastAsia="Times New Roman" w:hAnsi="Times New Roman"/>
                <w:sz w:val="14"/>
                <w:szCs w:val="14"/>
                <w:color w:val="666666"/>
              </w:rPr>
              <w:t>3,766</w:t>
            </w:r>
          </w:p>
        </w:tc>
        <w:tc>
          <w:tcPr>
            <w:tcW w:w="140" w:type="dxa"/>
            <w:vAlign w:val="bottom"/>
            <w:tcBorders>
              <w:left w:val="single" w:sz="8" w:color="DBDBDB"/>
              <w:bottom w:val="single" w:sz="8" w:color="DBDBDB"/>
              <w:right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right w:val="single" w:sz="8" w:color="DBDBDB"/>
            </w:tcBorders>
            <w:gridSpan w:val="4"/>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4,066</w:t>
            </w:r>
          </w:p>
        </w:tc>
        <w:tc>
          <w:tcPr>
            <w:tcW w:w="120" w:type="dxa"/>
            <w:vAlign w:val="bottom"/>
            <w:tcBorders>
              <w:left w:val="single" w:sz="8" w:color="DBDBDB"/>
              <w:bottom w:val="single" w:sz="8" w:color="DBDBDB"/>
              <w:right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gridSpan w:val="4"/>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4,167</w:t>
            </w:r>
          </w:p>
        </w:tc>
        <w:tc>
          <w:tcPr>
            <w:tcW w:w="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right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right w:val="single" w:sz="8" w:color="DBDBDB"/>
            </w:tcBorders>
            <w:gridSpan w:val="3"/>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4,132</w:t>
            </w:r>
          </w:p>
        </w:tc>
        <w:tc>
          <w:tcPr>
            <w:tcW w:w="140" w:type="dxa"/>
            <w:vAlign w:val="bottom"/>
            <w:tcBorders>
              <w:left w:val="single" w:sz="8" w:color="DBDBDB"/>
              <w:bottom w:val="single" w:sz="8" w:color="DBDBDB"/>
              <w:right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right w:val="single" w:sz="8" w:color="DBDBDB"/>
            </w:tcBorders>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4"/>
                <w:szCs w:val="14"/>
                <w:color w:val="666666"/>
              </w:rPr>
              <w:t>4,303</w:t>
            </w:r>
          </w:p>
        </w:tc>
        <w:tc>
          <w:tcPr>
            <w:tcW w:w="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right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10,870</w:t>
            </w:r>
          </w:p>
        </w:tc>
        <w:tc>
          <w:tcPr>
            <w:tcW w:w="80" w:type="dxa"/>
            <w:vAlign w:val="bottom"/>
            <w:tcBorders>
              <w:left w:val="single" w:sz="8" w:color="DBDBDB"/>
              <w:bottom w:val="single" w:sz="8" w:color="DBDBDB"/>
            </w:tcBorders>
            <w:shd w:val="clear" w:color="auto" w:fill="DBDBDB"/>
          </w:tcPr>
          <w:p>
            <w:pPr>
              <w:spacing w:after="0"/>
              <w:rPr>
                <w:sz w:val="17"/>
                <w:szCs w:val="17"/>
                <w:color w:val="auto"/>
              </w:rPr>
            </w:pPr>
          </w:p>
        </w:tc>
        <w:tc>
          <w:tcPr>
            <w:tcW w:w="100" w:type="dxa"/>
            <w:vAlign w:val="bottom"/>
            <w:tcBorders>
              <w:bottom w:val="single" w:sz="8" w:color="DBDBDB"/>
              <w:right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12,602</w:t>
            </w:r>
          </w:p>
        </w:tc>
        <w:tc>
          <w:tcPr>
            <w:tcW w:w="40" w:type="dxa"/>
            <w:vAlign w:val="bottom"/>
            <w:tcBorders>
              <w:left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666666"/>
              </w:rPr>
              <w:t>EIP receivables, net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6,405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w w:val="88"/>
              </w:rPr>
              <w:t>6,201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color w:val="666666"/>
              </w:rPr>
              <w:t>6,915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666666"/>
              </w:rPr>
              <w:t>7,680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666666"/>
              </w:rPr>
              <w:t>7,488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666666"/>
              </w:rPr>
              <w:t>7,173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666666"/>
              </w:rPr>
              <w:t>6,987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6,915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6,987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DBDBDB"/>
          </w:tcPr>
          <w:p>
            <w:pPr>
              <w:spacing w:after="0"/>
              <w:rPr>
                <w:sz w:val="18"/>
                <w:szCs w:val="18"/>
                <w:color w:val="auto"/>
              </w:rPr>
            </w:pPr>
          </w:p>
        </w:tc>
        <w:tc>
          <w:tcPr>
            <w:tcW w:w="3140" w:type="dxa"/>
            <w:vAlign w:val="bottom"/>
            <w:tcBorders>
              <w:right w:val="single" w:sz="8" w:color="DBDBDB"/>
            </w:tcBorders>
            <w:shd w:val="clear" w:color="auto" w:fill="DBDBDB"/>
          </w:tcPr>
          <w:p>
            <w:pPr>
              <w:spacing w:after="0"/>
              <w:rPr>
                <w:sz w:val="18"/>
                <w:szCs w:val="18"/>
                <w:color w:val="auto"/>
              </w:rPr>
            </w:pPr>
          </w:p>
        </w:tc>
        <w:tc>
          <w:tcPr>
            <w:tcW w:w="420" w:type="dxa"/>
            <w:vAlign w:val="bottom"/>
            <w:tcBorders>
              <w:righ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tcBorders>
              <w:left w:val="single" w:sz="8" w:color="DBDBDB"/>
              <w:righ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tcBorders>
              <w:right w:val="single" w:sz="8" w:color="DBDBDB"/>
            </w:tcBorders>
            <w:shd w:val="clear" w:color="auto" w:fill="DBDBDB"/>
          </w:tcPr>
          <w:p>
            <w:pPr>
              <w:spacing w:after="0"/>
              <w:rPr>
                <w:sz w:val="18"/>
                <w:szCs w:val="18"/>
                <w:color w:val="auto"/>
              </w:rPr>
            </w:pPr>
          </w:p>
        </w:tc>
        <w:tc>
          <w:tcPr>
            <w:tcW w:w="160" w:type="dxa"/>
            <w:vAlign w:val="bottom"/>
            <w:tcBorders>
              <w:left w:val="single" w:sz="8" w:color="DBDBDB"/>
              <w:right w:val="single" w:sz="8" w:color="DBDBDB"/>
            </w:tcBorders>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00" w:type="dxa"/>
            <w:vAlign w:val="bottom"/>
            <w:tcBorders>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tcBorders>
              <w:right w:val="single" w:sz="8" w:color="DBDBDB"/>
            </w:tcBorders>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40" w:type="dxa"/>
            <w:vAlign w:val="bottom"/>
            <w:tcBorders>
              <w:left w:val="single" w:sz="8" w:color="DBDBDB"/>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120" w:type="dxa"/>
            <w:vAlign w:val="bottom"/>
            <w:tcBorders>
              <w:left w:val="single" w:sz="8" w:color="DBDBDB"/>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40" w:type="dxa"/>
            <w:vAlign w:val="bottom"/>
            <w:tcBorders>
              <w:right w:val="single" w:sz="8" w:color="DBDBDB"/>
            </w:tcBorders>
            <w:shd w:val="clear" w:color="auto" w:fill="DBDBDB"/>
          </w:tcPr>
          <w:p>
            <w:pPr>
              <w:spacing w:after="0"/>
              <w:rPr>
                <w:sz w:val="18"/>
                <w:szCs w:val="18"/>
                <w:color w:val="auto"/>
              </w:rPr>
            </w:pPr>
          </w:p>
        </w:tc>
        <w:tc>
          <w:tcPr>
            <w:tcW w:w="140" w:type="dxa"/>
            <w:vAlign w:val="bottom"/>
            <w:tcBorders>
              <w:left w:val="single" w:sz="8" w:color="DBDBDB"/>
              <w:righ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40" w:type="dxa"/>
            <w:vAlign w:val="bottom"/>
            <w:tcBorders>
              <w:left w:val="single" w:sz="8" w:color="DBDBDB"/>
              <w:right w:val="single" w:sz="8" w:color="DBDBDB"/>
            </w:tcBorders>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tcBorders>
              <w:left w:val="single" w:sz="8" w:color="DBDBDB"/>
            </w:tcBorders>
            <w:shd w:val="clear" w:color="auto" w:fill="DBDBDB"/>
          </w:tcPr>
          <w:p>
            <w:pPr>
              <w:spacing w:after="0"/>
              <w:rPr>
                <w:sz w:val="18"/>
                <w:szCs w:val="18"/>
                <w:color w:val="auto"/>
              </w:rPr>
            </w:pPr>
          </w:p>
        </w:tc>
        <w:tc>
          <w:tcPr>
            <w:tcW w:w="100" w:type="dxa"/>
            <w:vAlign w:val="bottom"/>
            <w:tcBorders>
              <w:right w:val="single" w:sz="8" w:color="DBDBDB"/>
            </w:tcBorders>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4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666666"/>
              </w:rPr>
              <w:t>Device financing - leased devices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4"/>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gridSpan w:val="4"/>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314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4"/>
                <w:szCs w:val="14"/>
                <w:color w:val="666666"/>
              </w:rPr>
              <w:t>Lease revenues</w:t>
            </w:r>
          </w:p>
        </w:tc>
        <w:tc>
          <w:tcPr>
            <w:tcW w:w="660" w:type="dxa"/>
            <w:vAlign w:val="bottom"/>
            <w:tcBorders>
              <w:bottom w:val="single" w:sz="8" w:color="DBDBDB"/>
            </w:tcBorders>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48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gridSpan w:val="2"/>
            <w:shd w:val="clear" w:color="auto" w:fill="DBDBDB"/>
          </w:tcPr>
          <w:p>
            <w:pPr>
              <w:jc w:val="center"/>
              <w:ind w:left="8"/>
              <w:spacing w:after="0"/>
              <w:rPr>
                <w:sz w:val="20"/>
                <w:szCs w:val="20"/>
                <w:color w:val="auto"/>
              </w:rPr>
            </w:pPr>
            <w:r>
              <w:rPr>
                <w:rFonts w:ascii="Times New Roman" w:cs="Times New Roman" w:eastAsia="Times New Roman" w:hAnsi="Times New Roman"/>
                <w:sz w:val="14"/>
                <w:szCs w:val="14"/>
                <w:color w:val="666666"/>
              </w:rPr>
              <w:t>$</w:t>
            </w:r>
          </w:p>
        </w:tc>
        <w:tc>
          <w:tcPr>
            <w:tcW w:w="280" w:type="dxa"/>
            <w:vAlign w:val="bottom"/>
            <w:tcBorders>
              <w:bottom w:val="single" w:sz="8" w:color="DBDBDB"/>
              <w:right w:val="single" w:sz="8" w:color="DBDBDB"/>
            </w:tcBorders>
            <w:shd w:val="clear" w:color="auto" w:fill="DBDBDB"/>
          </w:tcPr>
          <w:p>
            <w:pPr>
              <w:spacing w:after="0"/>
              <w:rPr>
                <w:sz w:val="17"/>
                <w:szCs w:val="17"/>
                <w:color w:val="auto"/>
              </w:rPr>
            </w:pPr>
          </w:p>
        </w:tc>
        <w:tc>
          <w:tcPr>
            <w:tcW w:w="360" w:type="dxa"/>
            <w:vAlign w:val="bottom"/>
            <w:tcBorders>
              <w:left w:val="single" w:sz="8" w:color="DBDBDB"/>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6</w:t>
            </w:r>
          </w:p>
        </w:tc>
        <w:tc>
          <w:tcPr>
            <w:tcW w:w="4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gridSpan w:val="2"/>
            <w:shd w:val="clear" w:color="auto" w:fill="DBDBDB"/>
          </w:tcPr>
          <w:p>
            <w:pPr>
              <w:jc w:val="center"/>
              <w:ind w:left="8"/>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bottom w:val="single" w:sz="8" w:color="DBDBDB"/>
              <w:right w:val="single" w:sz="8" w:color="DBDBDB"/>
            </w:tcBorders>
            <w:gridSpan w:val="4"/>
            <w:shd w:val="clear" w:color="auto" w:fill="DBDBDB"/>
          </w:tcPr>
          <w:p>
            <w:pPr>
              <w:jc w:val="right"/>
              <w:ind w:right="3"/>
              <w:spacing w:after="0"/>
              <w:rPr>
                <w:sz w:val="20"/>
                <w:szCs w:val="20"/>
                <w:color w:val="auto"/>
              </w:rPr>
            </w:pPr>
            <w:r>
              <w:rPr>
                <w:rFonts w:ascii="Times New Roman" w:cs="Times New Roman" w:eastAsia="Times New Roman" w:hAnsi="Times New Roman"/>
                <w:sz w:val="14"/>
                <w:szCs w:val="14"/>
                <w:color w:val="666666"/>
              </w:rPr>
              <w:t>4</w:t>
            </w:r>
          </w:p>
        </w:tc>
        <w:tc>
          <w:tcPr>
            <w:tcW w:w="220" w:type="dxa"/>
            <w:vAlign w:val="bottom"/>
            <w:tcBorders>
              <w:left w:val="single" w:sz="8" w:color="DBDBDB"/>
              <w:bottom w:val="single" w:sz="8" w:color="DBDBDB"/>
            </w:tcBorders>
            <w:gridSpan w:val="2"/>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Borders>
              <w:bottom w:val="single" w:sz="8" w:color="DBDBDB"/>
              <w:right w:val="single" w:sz="8" w:color="DBDBDB"/>
            </w:tcBorders>
            <w:gridSpan w:val="4"/>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2</w:t>
            </w:r>
          </w:p>
        </w:tc>
        <w:tc>
          <w:tcPr>
            <w:tcW w:w="200" w:type="dxa"/>
            <w:vAlign w:val="bottom"/>
            <w:tcBorders>
              <w:left w:val="single" w:sz="8" w:color="DBDBDB"/>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gridSpan w:val="4"/>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1</w:t>
            </w:r>
          </w:p>
        </w:tc>
        <w:tc>
          <w:tcPr>
            <w:tcW w:w="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right w:val="single" w:sz="8" w:color="DBDBDB"/>
            </w:tcBorders>
            <w:gridSpan w:val="3"/>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w:t>
            </w:r>
          </w:p>
        </w:tc>
        <w:tc>
          <w:tcPr>
            <w:tcW w:w="220" w:type="dxa"/>
            <w:vAlign w:val="bottom"/>
            <w:tcBorders>
              <w:left w:val="single" w:sz="8" w:color="DBDBDB"/>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4"/>
                <w:szCs w:val="14"/>
                <w:color w:val="666666"/>
              </w:rPr>
              <w:t>$</w:t>
            </w:r>
          </w:p>
        </w:tc>
        <w:tc>
          <w:tcPr>
            <w:tcW w:w="680" w:type="dxa"/>
            <w:vAlign w:val="bottom"/>
            <w:tcBorders>
              <w:bottom w:val="single" w:sz="8" w:color="DBDBDB"/>
            </w:tcBorders>
            <w:gridSpan w:val="3"/>
            <w:shd w:val="clear" w:color="auto" w:fill="DBDBDB"/>
          </w:tcPr>
          <w:p>
            <w:pPr>
              <w:jc w:val="right"/>
              <w:ind w:right="100"/>
              <w:spacing w:after="0"/>
              <w:rPr>
                <w:sz w:val="20"/>
                <w:szCs w:val="20"/>
                <w:color w:val="auto"/>
              </w:rPr>
            </w:pPr>
            <w:r>
              <w:rPr>
                <w:rFonts w:ascii="Times New Roman" w:cs="Times New Roman" w:eastAsia="Times New Roman" w:hAnsi="Times New Roman"/>
                <w:sz w:val="14"/>
                <w:szCs w:val="14"/>
                <w:color w:val="666666"/>
              </w:rPr>
              <w:t>—</w:t>
            </w:r>
          </w:p>
        </w:tc>
        <w:tc>
          <w:tcPr>
            <w:tcW w:w="200" w:type="dxa"/>
            <w:vAlign w:val="bottom"/>
            <w:tcBorders>
              <w:bottom w:val="single" w:sz="8" w:color="DBDBDB"/>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4"/>
                <w:szCs w:val="14"/>
                <w:color w:val="666666"/>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w:t>
            </w:r>
          </w:p>
        </w:tc>
        <w:tc>
          <w:tcPr>
            <w:tcW w:w="80" w:type="dxa"/>
            <w:vAlign w:val="bottom"/>
            <w:tcBorders>
              <w:left w:val="single" w:sz="8" w:color="DBDBDB"/>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666666"/>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40" w:type="dxa"/>
            <w:vAlign w:val="bottom"/>
            <w:tcBorders>
              <w:left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666666"/>
              </w:rPr>
              <w:t>Leased device depreciation</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666666"/>
              </w:rPr>
              <w:t>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666666"/>
                <w:w w:val="72"/>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666666"/>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20" w:type="dxa"/>
            <w:vAlign w:val="bottom"/>
            <w:shd w:val="clear" w:color="auto" w:fill="000000"/>
          </w:tcPr>
          <w:p>
            <w:pPr>
              <w:spacing w:after="0"/>
              <w:rPr>
                <w:sz w:val="24"/>
                <w:szCs w:val="24"/>
                <w:color w:val="auto"/>
              </w:rPr>
            </w:pPr>
          </w:p>
        </w:tc>
        <w:tc>
          <w:tcPr>
            <w:tcW w:w="3140" w:type="dxa"/>
            <w:vAlign w:val="bottom"/>
            <w:tcBorders>
              <w:right w:val="single" w:sz="8" w:color="auto"/>
            </w:tcBorders>
            <w:shd w:val="clear" w:color="auto" w:fill="000000"/>
          </w:tcPr>
          <w:p>
            <w:pPr>
              <w:spacing w:after="0"/>
              <w:rPr>
                <w:sz w:val="24"/>
                <w:szCs w:val="24"/>
                <w:color w:val="auto"/>
              </w:rPr>
            </w:pPr>
          </w:p>
        </w:tc>
        <w:tc>
          <w:tcPr>
            <w:tcW w:w="42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60" w:type="dxa"/>
            <w:vAlign w:val="bottom"/>
            <w:tcBorders>
              <w:left w:val="single" w:sz="8" w:color="auto"/>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80" w:type="dxa"/>
            <w:vAlign w:val="bottom"/>
            <w:tcBorders>
              <w:right w:val="single" w:sz="8" w:color="auto"/>
            </w:tcBorders>
            <w:shd w:val="clear" w:color="auto" w:fill="000000"/>
          </w:tcPr>
          <w:p>
            <w:pPr>
              <w:spacing w:after="0"/>
              <w:rPr>
                <w:sz w:val="24"/>
                <w:szCs w:val="24"/>
                <w:color w:val="auto"/>
              </w:rPr>
            </w:pPr>
          </w:p>
        </w:tc>
        <w:tc>
          <w:tcPr>
            <w:tcW w:w="160" w:type="dxa"/>
            <w:vAlign w:val="bottom"/>
            <w:tcBorders>
              <w:left w:val="single" w:sz="8" w:color="auto"/>
              <w:right w:val="single" w:sz="8" w:color="auto"/>
            </w:tcBorders>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32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140" w:type="dxa"/>
            <w:vAlign w:val="bottom"/>
            <w:tcBorders>
              <w:left w:val="single" w:sz="8" w:color="auto"/>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36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120" w:type="dxa"/>
            <w:vAlign w:val="bottom"/>
            <w:tcBorders>
              <w:left w:val="single" w:sz="8" w:color="auto"/>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140" w:type="dxa"/>
            <w:vAlign w:val="bottom"/>
            <w:tcBorders>
              <w:right w:val="single" w:sz="8" w:color="auto"/>
            </w:tcBorders>
            <w:shd w:val="clear" w:color="auto" w:fill="000000"/>
          </w:tcPr>
          <w:p>
            <w:pPr>
              <w:spacing w:after="0"/>
              <w:rPr>
                <w:sz w:val="24"/>
                <w:szCs w:val="24"/>
                <w:color w:val="auto"/>
              </w:rPr>
            </w:pPr>
          </w:p>
        </w:tc>
        <w:tc>
          <w:tcPr>
            <w:tcW w:w="140" w:type="dxa"/>
            <w:vAlign w:val="bottom"/>
            <w:tcBorders>
              <w:left w:val="single" w:sz="8" w:color="auto"/>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520" w:type="dxa"/>
            <w:vAlign w:val="bottom"/>
            <w:shd w:val="clear" w:color="auto" w:fill="000000"/>
          </w:tcPr>
          <w:p>
            <w:pPr>
              <w:spacing w:after="0"/>
              <w:rPr>
                <w:sz w:val="24"/>
                <w:szCs w:val="24"/>
                <w:color w:val="auto"/>
              </w:rPr>
            </w:pPr>
          </w:p>
        </w:tc>
        <w:tc>
          <w:tcPr>
            <w:tcW w:w="140" w:type="dxa"/>
            <w:vAlign w:val="bottom"/>
            <w:tcBorders>
              <w:left w:val="single" w:sz="8" w:color="auto"/>
              <w:right w:val="single" w:sz="8" w:color="auto"/>
            </w:tcBorders>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80" w:type="dxa"/>
            <w:vAlign w:val="bottom"/>
            <w:tcBorders>
              <w:left w:val="single" w:sz="8" w:color="auto"/>
            </w:tcBorders>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40" w:type="dxa"/>
            <w:vAlign w:val="bottom"/>
            <w:tcBorders>
              <w:lef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-5228590</wp:posOffset>
            </wp:positionV>
            <wp:extent cx="7123430" cy="386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2343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40575" cy="386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-3445510</wp:posOffset>
            </wp:positionV>
            <wp:extent cx="7140575" cy="3860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-2562860</wp:posOffset>
            </wp:positionV>
            <wp:extent cx="7140575" cy="3860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566"/>
        </w:trPr>
        <w:tc>
          <w:tcPr>
            <w:tcW w:w="284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660" w:type="dxa"/>
            <w:vAlign w:val="bottom"/>
            <w:shd w:val="clear" w:color="auto" w:fill="000000"/>
          </w:tcPr>
          <w:p>
            <w:pPr>
              <w:jc w:val="right"/>
              <w:ind w:right="165"/>
              <w:spacing w:after="0"/>
              <w:rPr>
                <w:sz w:val="20"/>
                <w:szCs w:val="20"/>
                <w:color w:val="auto"/>
              </w:rPr>
            </w:pPr>
            <w:r>
              <w:rPr>
                <w:rFonts w:ascii="Arial" w:cs="Arial" w:eastAsia="Arial" w:hAnsi="Arial"/>
                <w:sz w:val="32"/>
                <w:szCs w:val="32"/>
                <w:b w:val="1"/>
                <w:bCs w:val="1"/>
                <w:color w:val="E20074"/>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84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820" w:type="dxa"/>
            <w:vAlign w:val="bottom"/>
            <w:gridSpan w:val="2"/>
            <w:shd w:val="clear" w:color="auto" w:fill="000000"/>
          </w:tcPr>
          <w:p>
            <w:pPr>
              <w:spacing w:after="0"/>
              <w:rPr>
                <w:sz w:val="9"/>
                <w:szCs w:val="9"/>
                <w:color w:val="auto"/>
              </w:rPr>
            </w:pPr>
          </w:p>
        </w:tc>
        <w:tc>
          <w:tcPr>
            <w:tcW w:w="840" w:type="dxa"/>
            <w:vAlign w:val="bottom"/>
            <w:gridSpan w:val="2"/>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right"/>
              <w:ind w:right="108"/>
              <w:spacing w:after="0"/>
              <w:rPr>
                <w:sz w:val="20"/>
                <w:szCs w:val="20"/>
                <w:color w:val="auto"/>
              </w:rPr>
            </w:pPr>
            <w:r>
              <w:rPr>
                <w:rFonts w:ascii="Arial" w:cs="Arial" w:eastAsia="Arial" w:hAnsi="Arial"/>
                <w:sz w:val="18"/>
                <w:szCs w:val="18"/>
                <w:b w:val="1"/>
                <w:bCs w:val="1"/>
                <w:color w:val="666666"/>
              </w:rPr>
              <w:t>T-Mobile US, Inc.</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gridSpan w:val="16"/>
          </w:tcPr>
          <w:p>
            <w:pPr>
              <w:jc w:val="right"/>
              <w:ind w:right="268"/>
              <w:spacing w:after="0"/>
              <w:rPr>
                <w:sz w:val="20"/>
                <w:szCs w:val="20"/>
                <w:color w:val="auto"/>
              </w:rPr>
            </w:pPr>
            <w:r>
              <w:rPr>
                <w:rFonts w:ascii="Arial" w:cs="Arial" w:eastAsia="Arial" w:hAnsi="Arial"/>
                <w:sz w:val="18"/>
                <w:szCs w:val="18"/>
                <w:b w:val="1"/>
                <w:bCs w:val="1"/>
                <w:color w:val="666666"/>
              </w:rPr>
              <w:t>Supplementary Operating and Financial Data (continued)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right"/>
              <w:ind w:right="328"/>
              <w:spacing w:after="0"/>
              <w:rPr>
                <w:sz w:val="20"/>
                <w:szCs w:val="20"/>
                <w:color w:val="auto"/>
              </w:rPr>
            </w:pPr>
            <w:r>
              <w:rPr>
                <w:rFonts w:ascii="Arial" w:cs="Arial" w:eastAsia="Arial" w:hAnsi="Arial"/>
                <w:sz w:val="18"/>
                <w:szCs w:val="18"/>
                <w:b w:val="1"/>
                <w:bCs w:val="1"/>
                <w:color w:val="666666"/>
              </w:rPr>
              <w:t>(Unaudited)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8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2840" w:type="dxa"/>
            <w:vAlign w:val="bottom"/>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20" w:type="dxa"/>
            <w:vAlign w:val="bottom"/>
            <w:vMerge w:val="restart"/>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shd w:val="clear" w:color="auto" w:fill="E20074"/>
          </w:tcPr>
          <w:p>
            <w:pPr>
              <w:spacing w:after="0"/>
              <w:rPr>
                <w:sz w:val="14"/>
                <w:szCs w:val="14"/>
                <w:color w:val="auto"/>
              </w:rPr>
            </w:pPr>
          </w:p>
        </w:tc>
        <w:tc>
          <w:tcPr>
            <w:tcW w:w="1600" w:type="dxa"/>
            <w:vAlign w:val="bottom"/>
            <w:gridSpan w:val="4"/>
            <w:shd w:val="clear" w:color="auto" w:fill="E20074"/>
          </w:tcPr>
          <w:p>
            <w:pPr>
              <w:ind w:left="100"/>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2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600" w:type="dxa"/>
            <w:vAlign w:val="bottom"/>
            <w:gridSpan w:val="4"/>
            <w:shd w:val="clear" w:color="auto" w:fill="E20074"/>
          </w:tcPr>
          <w:p>
            <w:pPr>
              <w:jc w:val="right"/>
              <w:ind w:right="365"/>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 except percentages)</w:t>
            </w:r>
          </w:p>
        </w:tc>
        <w:tc>
          <w:tcPr>
            <w:tcW w:w="14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7"/>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2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7"/>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2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2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20" w:type="dxa"/>
            <w:vAlign w:val="bottom"/>
          </w:tcPr>
          <w:p>
            <w:pPr>
              <w:spacing w:after="0"/>
              <w:rPr>
                <w:sz w:val="18"/>
                <w:szCs w:val="18"/>
                <w:color w:val="auto"/>
              </w:rPr>
            </w:pPr>
          </w:p>
        </w:tc>
        <w:tc>
          <w:tcPr>
            <w:tcW w:w="1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ind w:left="10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1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185"/>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666666"/>
              </w:rPr>
              <w:t>Financial measures</w:t>
            </w: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Service revenues</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16,925</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17,438</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18,241</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18,702</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18,831</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18,983</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19,375</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52,604</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57,189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Equipment revenues</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3,704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3,439</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3,465</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5,364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3,996</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3,524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3,929</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10,608</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11,449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Lease revenues</w:t>
            </w:r>
          </w:p>
        </w:tc>
        <w:tc>
          <w:tcPr>
            <w:tcW w:w="14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Equipment sales</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3,703</w:t>
            </w:r>
          </w:p>
        </w:tc>
        <w:tc>
          <w:tcPr>
            <w:tcW w:w="2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3,433</w:t>
            </w:r>
          </w:p>
        </w:tc>
        <w:tc>
          <w:tcPr>
            <w:tcW w:w="2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3,461</w:t>
            </w:r>
          </w:p>
        </w:tc>
        <w:tc>
          <w:tcPr>
            <w:tcW w:w="2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5,362</w:t>
            </w:r>
          </w:p>
        </w:tc>
        <w:tc>
          <w:tcPr>
            <w:tcW w:w="2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3,995</w:t>
            </w:r>
          </w:p>
        </w:tc>
        <w:tc>
          <w:tcPr>
            <w:tcW w:w="2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3,524</w:t>
            </w:r>
          </w:p>
        </w:tc>
        <w:tc>
          <w:tcPr>
            <w:tcW w:w="2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3,929</w:t>
            </w:r>
          </w:p>
        </w:tc>
        <w:tc>
          <w:tcPr>
            <w:tcW w:w="300" w:type="dxa"/>
            <w:vAlign w:val="bottom"/>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10,597</w:t>
            </w:r>
          </w:p>
        </w:tc>
        <w:tc>
          <w:tcPr>
            <w:tcW w:w="280" w:type="dxa"/>
            <w:vAlign w:val="bottom"/>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11,448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84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2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20" w:type="dxa"/>
            <w:vAlign w:val="bottom"/>
            <w:tcBorders>
              <w:top w:val="single" w:sz="8" w:color="929292"/>
            </w:tcBorders>
          </w:tcPr>
          <w:p>
            <w:pPr>
              <w:spacing w:after="0"/>
              <w:rPr>
                <w:sz w:val="2"/>
                <w:szCs w:val="2"/>
                <w:color w:val="auto"/>
              </w:rPr>
            </w:pPr>
          </w:p>
        </w:tc>
        <w:tc>
          <w:tcPr>
            <w:tcW w:w="72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2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80" w:type="dxa"/>
            <w:vAlign w:val="bottom"/>
            <w:tcBorders>
              <w:top w:val="single" w:sz="8" w:color="929292"/>
            </w:tcBorders>
          </w:tcPr>
          <w:p>
            <w:pPr>
              <w:spacing w:after="0"/>
              <w:rPr>
                <w:sz w:val="2"/>
                <w:szCs w:val="2"/>
                <w:color w:val="auto"/>
              </w:rPr>
            </w:pPr>
          </w:p>
        </w:tc>
        <w:tc>
          <w:tcPr>
            <w:tcW w:w="66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80" w:type="dxa"/>
            <w:vAlign w:val="bottom"/>
            <w:tcBorders>
              <w:top w:val="single" w:sz="8" w:color="929292"/>
            </w:tcBorders>
          </w:tcPr>
          <w:p>
            <w:pPr>
              <w:spacing w:after="0"/>
              <w:rPr>
                <w:sz w:val="2"/>
                <w:szCs w:val="2"/>
                <w:color w:val="auto"/>
              </w:rPr>
            </w:pPr>
          </w:p>
        </w:tc>
        <w:tc>
          <w:tcPr>
            <w:tcW w:w="660" w:type="dxa"/>
            <w:vAlign w:val="bottom"/>
            <w:tcBorders>
              <w:top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Total revenues</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20,886</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21,132</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21,957</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24,334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23,107</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22,791</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23,584</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63,975</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69,482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Net income</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2,953</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3,222</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2,714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2,103</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2,504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3,239</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3,455</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8,889</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9,198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Net income margin</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18.5 %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14.9 %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13.3 %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16.9 %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16.1 %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40" w:type="dxa"/>
            <w:vAlign w:val="bottom"/>
            <w:tcBorders>
              <w:bottom w:val="single" w:sz="8" w:color="DBDBDB"/>
            </w:tcBorders>
          </w:tcPr>
          <w:p>
            <w:pPr>
              <w:spacing w:after="0"/>
              <w:rPr>
                <w:sz w:val="5"/>
                <w:szCs w:val="5"/>
                <w:color w:val="auto"/>
              </w:rPr>
            </w:pPr>
          </w:p>
        </w:tc>
        <w:tc>
          <w:tcPr>
            <w:tcW w:w="140" w:type="dxa"/>
            <w:vAlign w:val="bottom"/>
            <w:tcBorders>
              <w:bottom w:val="single" w:sz="8" w:color="DBDBDB"/>
            </w:tcBorders>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2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300" w:type="dxa"/>
            <w:vAlign w:val="bottom"/>
            <w:tcBorders>
              <w:bottom w:val="single" w:sz="8" w:color="DBDBDB"/>
            </w:tcBorders>
            <w:gridSpan w:val="2"/>
          </w:tcPr>
          <w:p>
            <w:pPr>
              <w:spacing w:after="0"/>
              <w:rPr>
                <w:sz w:val="5"/>
                <w:szCs w:val="5"/>
                <w:color w:val="auto"/>
              </w:rPr>
            </w:pPr>
          </w:p>
        </w:tc>
        <w:tc>
          <w:tcPr>
            <w:tcW w:w="660" w:type="dxa"/>
            <w:vAlign w:val="bottom"/>
            <w:tcBorders>
              <w:bottom w:val="single" w:sz="8" w:color="DBDBDB"/>
            </w:tcBorders>
          </w:tcPr>
          <w:p>
            <w:pPr>
              <w:spacing w:after="0"/>
              <w:rPr>
                <w:sz w:val="5"/>
                <w:szCs w:val="5"/>
                <w:color w:val="auto"/>
              </w:rPr>
            </w:pPr>
          </w:p>
        </w:tc>
        <w:tc>
          <w:tcPr>
            <w:tcW w:w="280" w:type="dxa"/>
            <w:vAlign w:val="bottom"/>
            <w:tcBorders>
              <w:bottom w:val="single" w:sz="8" w:color="DBDBDB"/>
            </w:tcBorders>
            <w:gridSpan w:val="2"/>
          </w:tcPr>
          <w:p>
            <w:pPr>
              <w:spacing w:after="0"/>
              <w:rPr>
                <w:sz w:val="5"/>
                <w:szCs w:val="5"/>
                <w:color w:val="auto"/>
              </w:rPr>
            </w:pPr>
          </w:p>
        </w:tc>
        <w:tc>
          <w:tcPr>
            <w:tcW w:w="660" w:type="dxa"/>
            <w:vAlign w:val="bottom"/>
            <w:tcBorders>
              <w:bottom w:val="single" w:sz="8" w:color="DBDBDB"/>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8,259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8,547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8,684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8,447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9,241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9,537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9,620</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25,490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28,398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Adjusted EBITDA margin</w:t>
            </w: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48.8 %</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49.0 %</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47.6 %</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45.2 %</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49.1 %</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50.2 %</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48.5 %</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Core 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8,258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8,541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8,680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9,240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9,537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9,620</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25,479</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28,397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Core Adjusted EBITDA margin</w:t>
            </w: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48.8 %</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49.0 %</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47.6 %</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45.2 %</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49.1 %</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50.2 %</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48.4 %</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ind w:left="20"/>
              <w:spacing w:after="0" w:line="153" w:lineRule="exact"/>
              <w:rPr>
                <w:sz w:val="20"/>
                <w:szCs w:val="20"/>
                <w:color w:val="auto"/>
              </w:rPr>
            </w:pPr>
            <w:r>
              <w:rPr>
                <w:rFonts w:ascii="Times New Roman" w:cs="Times New Roman" w:eastAsia="Times New Roman" w:hAnsi="Times New Roman"/>
                <w:sz w:val="14"/>
                <w:szCs w:val="14"/>
                <w:color w:val="666666"/>
              </w:rPr>
              <w:t>Cost of services, exclusive of depreciation and</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2,602</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2,717</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2,873</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3,305</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3,339</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2,978</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3,007</w:t>
            </w:r>
          </w:p>
        </w:tc>
        <w:tc>
          <w:tcPr>
            <w:tcW w:w="300" w:type="dxa"/>
            <w:vAlign w:val="bottom"/>
            <w:gridSpan w:val="2"/>
            <w:vMerge w:val="restart"/>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8,192</w:t>
            </w:r>
          </w:p>
        </w:tc>
        <w:tc>
          <w:tcPr>
            <w:tcW w:w="280" w:type="dxa"/>
            <w:vAlign w:val="bottom"/>
            <w:gridSpan w:val="2"/>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vMerge w:val="restart"/>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9,324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amortization</w:t>
            </w:r>
          </w:p>
        </w:tc>
        <w:tc>
          <w:tcPr>
            <w:tcW w:w="140" w:type="dxa"/>
            <w:vAlign w:val="bottom"/>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2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300" w:type="dxa"/>
            <w:vAlign w:val="bottom"/>
            <w:gridSpan w:val="2"/>
            <w:vMerge w:val="continue"/>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80" w:type="dxa"/>
            <w:vAlign w:val="bottom"/>
            <w:gridSpan w:val="2"/>
            <w:vMerge w:val="continue"/>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UScellular merger-related costs</w:t>
            </w:r>
          </w:p>
        </w:tc>
        <w:tc>
          <w:tcPr>
            <w:tcW w:w="14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344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410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Other Special Items</w:t>
            </w: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20</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28</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55</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250</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101</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69</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46</w:t>
            </w: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103</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666666"/>
              </w:rPr>
              <w:t>Cost of services, exclusive of depreciation and</w:t>
            </w: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2,582</w:t>
            </w:r>
          </w:p>
        </w:tc>
        <w:tc>
          <w:tcPr>
            <w:tcW w:w="100" w:type="dxa"/>
            <w:vAlign w:val="bottom"/>
            <w:vMerge w:val="restart"/>
          </w:tcPr>
          <w:p>
            <w:pPr>
              <w:spacing w:after="0"/>
              <w:rPr>
                <w:sz w:val="11"/>
                <w:szCs w:val="11"/>
                <w:color w:val="auto"/>
              </w:rPr>
            </w:pP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2,689</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00" w:type="dxa"/>
            <w:vAlign w:val="bottom"/>
            <w:tcBorders>
              <w:top w:val="single" w:sz="8" w:color="929292"/>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2,811</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2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3,031</w:t>
            </w:r>
          </w:p>
        </w:tc>
        <w:tc>
          <w:tcPr>
            <w:tcW w:w="100" w:type="dxa"/>
            <w:vAlign w:val="bottom"/>
            <w:vMerge w:val="restart"/>
          </w:tcPr>
          <w:p>
            <w:pPr>
              <w:spacing w:after="0"/>
              <w:rPr>
                <w:sz w:val="11"/>
                <w:szCs w:val="11"/>
                <w:color w:val="auto"/>
              </w:rPr>
            </w:pP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2,894</w:t>
            </w:r>
          </w:p>
        </w:tc>
        <w:tc>
          <w:tcPr>
            <w:tcW w:w="100" w:type="dxa"/>
            <w:vAlign w:val="bottom"/>
            <w:vMerge w:val="restart"/>
          </w:tcPr>
          <w:p>
            <w:pPr>
              <w:spacing w:after="0"/>
              <w:rPr>
                <w:sz w:val="11"/>
                <w:szCs w:val="11"/>
                <w:color w:val="auto"/>
              </w:rPr>
            </w:pP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2,865</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2,939</w:t>
            </w:r>
          </w:p>
        </w:tc>
        <w:tc>
          <w:tcPr>
            <w:tcW w:w="120" w:type="dxa"/>
            <w:vAlign w:val="bottom"/>
            <w:vMerge w:val="restart"/>
          </w:tcPr>
          <w:p>
            <w:pPr>
              <w:spacing w:after="0"/>
              <w:rPr>
                <w:sz w:val="11"/>
                <w:szCs w:val="11"/>
                <w:color w:val="auto"/>
              </w:rPr>
            </w:pPr>
          </w:p>
        </w:tc>
        <w:tc>
          <w:tcPr>
            <w:tcW w:w="180" w:type="dxa"/>
            <w:vAlign w:val="bottom"/>
            <w:tcBorders>
              <w:top w:val="single" w:sz="8" w:color="929292"/>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8,082</w:t>
            </w:r>
          </w:p>
        </w:tc>
        <w:tc>
          <w:tcPr>
            <w:tcW w:w="100" w:type="dxa"/>
            <w:vAlign w:val="bottom"/>
            <w:vMerge w:val="restart"/>
          </w:tcPr>
          <w:p>
            <w:pPr>
              <w:spacing w:after="0"/>
              <w:rPr>
                <w:sz w:val="11"/>
                <w:szCs w:val="11"/>
                <w:color w:val="auto"/>
              </w:rPr>
            </w:pPr>
          </w:p>
        </w:tc>
        <w:tc>
          <w:tcPr>
            <w:tcW w:w="180" w:type="dxa"/>
            <w:vAlign w:val="bottom"/>
            <w:tcBorders>
              <w:top w:val="single" w:sz="8" w:color="929292"/>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tcBorders>
            <w:vMerge w:val="restart"/>
          </w:tcPr>
          <w:p>
            <w:pPr>
              <w:jc w:val="right"/>
              <w:ind w:right="105"/>
              <w:spacing w:after="0"/>
              <w:rPr>
                <w:sz w:val="20"/>
                <w:szCs w:val="20"/>
                <w:color w:val="auto"/>
              </w:rPr>
            </w:pPr>
            <w:r>
              <w:rPr>
                <w:rFonts w:ascii="Times New Roman" w:cs="Times New Roman" w:eastAsia="Times New Roman" w:hAnsi="Times New Roman"/>
                <w:sz w:val="14"/>
                <w:szCs w:val="14"/>
                <w:color w:val="666666"/>
              </w:rPr>
              <w:t>8,698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8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4"/>
                <w:szCs w:val="14"/>
                <w:color w:val="666666"/>
              </w:rPr>
              <w:t>amortization and Special Items</w:t>
            </w:r>
          </w:p>
        </w:tc>
        <w:tc>
          <w:tcPr>
            <w:tcW w:w="140" w:type="dxa"/>
            <w:vAlign w:val="bottom"/>
            <w:tcBorders>
              <w:bottom w:val="single" w:sz="8" w:color="929292"/>
            </w:tcBorders>
            <w:vMerge w:val="continue"/>
          </w:tcPr>
          <w:p>
            <w:pPr>
              <w:spacing w:after="0"/>
              <w:rPr>
                <w:sz w:val="20"/>
                <w:szCs w:val="20"/>
                <w:color w:val="auto"/>
              </w:rPr>
            </w:pPr>
          </w:p>
        </w:tc>
        <w:tc>
          <w:tcPr>
            <w:tcW w:w="700" w:type="dxa"/>
            <w:vAlign w:val="bottom"/>
            <w:tcBorders>
              <w:bottom w:val="single" w:sz="8" w:color="929292"/>
            </w:tcBorders>
            <w:vMerge w:val="continue"/>
          </w:tcPr>
          <w:p>
            <w:pPr>
              <w:spacing w:after="0"/>
              <w:rPr>
                <w:sz w:val="20"/>
                <w:szCs w:val="20"/>
                <w:color w:val="auto"/>
              </w:rPr>
            </w:pPr>
          </w:p>
        </w:tc>
        <w:tc>
          <w:tcPr>
            <w:tcW w:w="100" w:type="dxa"/>
            <w:vAlign w:val="bottom"/>
            <w:tcBorders>
              <w:bottom w:val="single" w:sz="8" w:color="DBDBDB"/>
            </w:tcBorders>
            <w:vMerge w:val="continue"/>
          </w:tcPr>
          <w:p>
            <w:pPr>
              <w:spacing w:after="0"/>
              <w:rPr>
                <w:sz w:val="20"/>
                <w:szCs w:val="20"/>
                <w:color w:val="auto"/>
              </w:rPr>
            </w:pPr>
          </w:p>
        </w:tc>
        <w:tc>
          <w:tcPr>
            <w:tcW w:w="140" w:type="dxa"/>
            <w:vAlign w:val="bottom"/>
            <w:tcBorders>
              <w:bottom w:val="single" w:sz="8" w:color="929292"/>
            </w:tcBorders>
            <w:vMerge w:val="continue"/>
          </w:tcPr>
          <w:p>
            <w:pPr>
              <w:spacing w:after="0"/>
              <w:rPr>
                <w:sz w:val="20"/>
                <w:szCs w:val="20"/>
                <w:color w:val="auto"/>
              </w:rPr>
            </w:pPr>
          </w:p>
        </w:tc>
        <w:tc>
          <w:tcPr>
            <w:tcW w:w="700" w:type="dxa"/>
            <w:vAlign w:val="bottom"/>
            <w:tcBorders>
              <w:bottom w:val="single" w:sz="8" w:color="929292"/>
            </w:tcBorders>
            <w:vMerge w:val="continue"/>
          </w:tcPr>
          <w:p>
            <w:pPr>
              <w:spacing w:after="0"/>
              <w:rPr>
                <w:sz w:val="20"/>
                <w:szCs w:val="20"/>
                <w:color w:val="auto"/>
              </w:rPr>
            </w:pPr>
          </w:p>
        </w:tc>
        <w:tc>
          <w:tcPr>
            <w:tcW w:w="120" w:type="dxa"/>
            <w:vAlign w:val="bottom"/>
            <w:tcBorders>
              <w:bottom w:val="single" w:sz="8" w:color="DBDBDB"/>
            </w:tcBorders>
            <w:vMerge w:val="continue"/>
          </w:tcPr>
          <w:p>
            <w:pPr>
              <w:spacing w:after="0"/>
              <w:rPr>
                <w:sz w:val="20"/>
                <w:szCs w:val="20"/>
                <w:color w:val="auto"/>
              </w:rPr>
            </w:pPr>
          </w:p>
        </w:tc>
        <w:tc>
          <w:tcPr>
            <w:tcW w:w="120" w:type="dxa"/>
            <w:vAlign w:val="bottom"/>
            <w:tcBorders>
              <w:bottom w:val="single" w:sz="8" w:color="929292"/>
            </w:tcBorders>
            <w:vMerge w:val="continue"/>
          </w:tcPr>
          <w:p>
            <w:pPr>
              <w:spacing w:after="0"/>
              <w:rPr>
                <w:sz w:val="20"/>
                <w:szCs w:val="20"/>
                <w:color w:val="auto"/>
              </w:rPr>
            </w:pPr>
          </w:p>
        </w:tc>
        <w:tc>
          <w:tcPr>
            <w:tcW w:w="700" w:type="dxa"/>
            <w:vAlign w:val="bottom"/>
            <w:tcBorders>
              <w:bottom w:val="single" w:sz="8" w:color="929292"/>
            </w:tcBorders>
            <w:vMerge w:val="continue"/>
          </w:tcPr>
          <w:p>
            <w:pPr>
              <w:spacing w:after="0"/>
              <w:rPr>
                <w:sz w:val="20"/>
                <w:szCs w:val="20"/>
                <w:color w:val="auto"/>
              </w:rPr>
            </w:pPr>
          </w:p>
        </w:tc>
        <w:tc>
          <w:tcPr>
            <w:tcW w:w="120" w:type="dxa"/>
            <w:vAlign w:val="bottom"/>
            <w:tcBorders>
              <w:bottom w:val="single" w:sz="8" w:color="DBDBDB"/>
            </w:tcBorders>
            <w:vMerge w:val="continue"/>
          </w:tcPr>
          <w:p>
            <w:pPr>
              <w:spacing w:after="0"/>
              <w:rPr>
                <w:sz w:val="20"/>
                <w:szCs w:val="20"/>
                <w:color w:val="auto"/>
              </w:rPr>
            </w:pPr>
          </w:p>
        </w:tc>
        <w:tc>
          <w:tcPr>
            <w:tcW w:w="120" w:type="dxa"/>
            <w:vAlign w:val="bottom"/>
            <w:tcBorders>
              <w:bottom w:val="single" w:sz="8" w:color="929292"/>
            </w:tcBorders>
            <w:vMerge w:val="continue"/>
          </w:tcPr>
          <w:p>
            <w:pPr>
              <w:spacing w:after="0"/>
              <w:rPr>
                <w:sz w:val="20"/>
                <w:szCs w:val="20"/>
                <w:color w:val="auto"/>
              </w:rPr>
            </w:pPr>
          </w:p>
        </w:tc>
        <w:tc>
          <w:tcPr>
            <w:tcW w:w="720" w:type="dxa"/>
            <w:vAlign w:val="bottom"/>
            <w:tcBorders>
              <w:bottom w:val="single" w:sz="8" w:color="929292"/>
            </w:tcBorders>
            <w:vMerge w:val="continue"/>
          </w:tcPr>
          <w:p>
            <w:pPr>
              <w:spacing w:after="0"/>
              <w:rPr>
                <w:sz w:val="20"/>
                <w:szCs w:val="20"/>
                <w:color w:val="auto"/>
              </w:rPr>
            </w:pPr>
          </w:p>
        </w:tc>
        <w:tc>
          <w:tcPr>
            <w:tcW w:w="100" w:type="dxa"/>
            <w:vAlign w:val="bottom"/>
            <w:tcBorders>
              <w:bottom w:val="single" w:sz="8" w:color="DBDBDB"/>
            </w:tcBorders>
            <w:vMerge w:val="continue"/>
          </w:tcPr>
          <w:p>
            <w:pPr>
              <w:spacing w:after="0"/>
              <w:rPr>
                <w:sz w:val="20"/>
                <w:szCs w:val="20"/>
                <w:color w:val="auto"/>
              </w:rPr>
            </w:pPr>
          </w:p>
        </w:tc>
        <w:tc>
          <w:tcPr>
            <w:tcW w:w="140" w:type="dxa"/>
            <w:vAlign w:val="bottom"/>
            <w:tcBorders>
              <w:bottom w:val="single" w:sz="8" w:color="929292"/>
            </w:tcBorders>
            <w:vMerge w:val="continue"/>
          </w:tcPr>
          <w:p>
            <w:pPr>
              <w:spacing w:after="0"/>
              <w:rPr>
                <w:sz w:val="20"/>
                <w:szCs w:val="20"/>
                <w:color w:val="auto"/>
              </w:rPr>
            </w:pPr>
          </w:p>
        </w:tc>
        <w:tc>
          <w:tcPr>
            <w:tcW w:w="700" w:type="dxa"/>
            <w:vAlign w:val="bottom"/>
            <w:tcBorders>
              <w:bottom w:val="single" w:sz="8" w:color="929292"/>
            </w:tcBorders>
            <w:vMerge w:val="continue"/>
          </w:tcPr>
          <w:p>
            <w:pPr>
              <w:spacing w:after="0"/>
              <w:rPr>
                <w:sz w:val="20"/>
                <w:szCs w:val="20"/>
                <w:color w:val="auto"/>
              </w:rPr>
            </w:pPr>
          </w:p>
        </w:tc>
        <w:tc>
          <w:tcPr>
            <w:tcW w:w="100" w:type="dxa"/>
            <w:vAlign w:val="bottom"/>
            <w:tcBorders>
              <w:bottom w:val="single" w:sz="8" w:color="DBDBDB"/>
            </w:tcBorders>
            <w:vMerge w:val="continue"/>
          </w:tcPr>
          <w:p>
            <w:pPr>
              <w:spacing w:after="0"/>
              <w:rPr>
                <w:sz w:val="20"/>
                <w:szCs w:val="20"/>
                <w:color w:val="auto"/>
              </w:rPr>
            </w:pPr>
          </w:p>
        </w:tc>
        <w:tc>
          <w:tcPr>
            <w:tcW w:w="140" w:type="dxa"/>
            <w:vAlign w:val="bottom"/>
            <w:tcBorders>
              <w:bottom w:val="single" w:sz="8" w:color="929292"/>
            </w:tcBorders>
            <w:vMerge w:val="continue"/>
          </w:tcPr>
          <w:p>
            <w:pPr>
              <w:spacing w:after="0"/>
              <w:rPr>
                <w:sz w:val="20"/>
                <w:szCs w:val="20"/>
                <w:color w:val="auto"/>
              </w:rPr>
            </w:pPr>
          </w:p>
        </w:tc>
        <w:tc>
          <w:tcPr>
            <w:tcW w:w="700" w:type="dxa"/>
            <w:vAlign w:val="bottom"/>
            <w:tcBorders>
              <w:bottom w:val="single" w:sz="8" w:color="929292"/>
            </w:tcBorders>
            <w:vMerge w:val="continue"/>
          </w:tcPr>
          <w:p>
            <w:pPr>
              <w:spacing w:after="0"/>
              <w:rPr>
                <w:sz w:val="20"/>
                <w:szCs w:val="20"/>
                <w:color w:val="auto"/>
              </w:rPr>
            </w:pPr>
          </w:p>
        </w:tc>
        <w:tc>
          <w:tcPr>
            <w:tcW w:w="120" w:type="dxa"/>
            <w:vAlign w:val="bottom"/>
            <w:tcBorders>
              <w:bottom w:val="single" w:sz="8" w:color="DBDBDB"/>
            </w:tcBorders>
            <w:vMerge w:val="continue"/>
          </w:tcPr>
          <w:p>
            <w:pPr>
              <w:spacing w:after="0"/>
              <w:rPr>
                <w:sz w:val="20"/>
                <w:szCs w:val="20"/>
                <w:color w:val="auto"/>
              </w:rPr>
            </w:pPr>
          </w:p>
        </w:tc>
        <w:tc>
          <w:tcPr>
            <w:tcW w:w="120" w:type="dxa"/>
            <w:vAlign w:val="bottom"/>
            <w:tcBorders>
              <w:bottom w:val="single" w:sz="8" w:color="929292"/>
            </w:tcBorders>
            <w:vMerge w:val="continue"/>
          </w:tcPr>
          <w:p>
            <w:pPr>
              <w:spacing w:after="0"/>
              <w:rPr>
                <w:sz w:val="20"/>
                <w:szCs w:val="20"/>
                <w:color w:val="auto"/>
              </w:rPr>
            </w:pPr>
          </w:p>
        </w:tc>
        <w:tc>
          <w:tcPr>
            <w:tcW w:w="700" w:type="dxa"/>
            <w:vAlign w:val="bottom"/>
            <w:tcBorders>
              <w:bottom w:val="single" w:sz="8" w:color="929292"/>
            </w:tcBorders>
            <w:vMerge w:val="continue"/>
          </w:tcPr>
          <w:p>
            <w:pPr>
              <w:spacing w:after="0"/>
              <w:rPr>
                <w:sz w:val="20"/>
                <w:szCs w:val="20"/>
                <w:color w:val="auto"/>
              </w:rPr>
            </w:pPr>
          </w:p>
        </w:tc>
        <w:tc>
          <w:tcPr>
            <w:tcW w:w="120" w:type="dxa"/>
            <w:vAlign w:val="bottom"/>
            <w:tcBorders>
              <w:bottom w:val="single" w:sz="8" w:color="DBDBDB"/>
            </w:tcBorders>
            <w:vMerge w:val="continue"/>
          </w:tcPr>
          <w:p>
            <w:pPr>
              <w:spacing w:after="0"/>
              <w:rPr>
                <w:sz w:val="20"/>
                <w:szCs w:val="20"/>
                <w:color w:val="auto"/>
              </w:rPr>
            </w:pPr>
          </w:p>
        </w:tc>
        <w:tc>
          <w:tcPr>
            <w:tcW w:w="180" w:type="dxa"/>
            <w:vAlign w:val="bottom"/>
            <w:tcBorders>
              <w:bottom w:val="single" w:sz="8" w:color="929292"/>
            </w:tcBorders>
            <w:vMerge w:val="continue"/>
          </w:tcPr>
          <w:p>
            <w:pPr>
              <w:spacing w:after="0"/>
              <w:rPr>
                <w:sz w:val="20"/>
                <w:szCs w:val="20"/>
                <w:color w:val="auto"/>
              </w:rPr>
            </w:pPr>
          </w:p>
        </w:tc>
        <w:tc>
          <w:tcPr>
            <w:tcW w:w="660" w:type="dxa"/>
            <w:vAlign w:val="bottom"/>
            <w:tcBorders>
              <w:bottom w:val="single" w:sz="8" w:color="929292"/>
            </w:tcBorders>
            <w:vMerge w:val="continue"/>
          </w:tcPr>
          <w:p>
            <w:pPr>
              <w:spacing w:after="0"/>
              <w:rPr>
                <w:sz w:val="20"/>
                <w:szCs w:val="20"/>
                <w:color w:val="auto"/>
              </w:rPr>
            </w:pPr>
          </w:p>
        </w:tc>
        <w:tc>
          <w:tcPr>
            <w:tcW w:w="100" w:type="dxa"/>
            <w:vAlign w:val="bottom"/>
            <w:tcBorders>
              <w:bottom w:val="single" w:sz="8" w:color="DBDBDB"/>
            </w:tcBorders>
            <w:vMerge w:val="continue"/>
          </w:tcPr>
          <w:p>
            <w:pPr>
              <w:spacing w:after="0"/>
              <w:rPr>
                <w:sz w:val="20"/>
                <w:szCs w:val="20"/>
                <w:color w:val="auto"/>
              </w:rPr>
            </w:pPr>
          </w:p>
        </w:tc>
        <w:tc>
          <w:tcPr>
            <w:tcW w:w="180" w:type="dxa"/>
            <w:vAlign w:val="bottom"/>
            <w:tcBorders>
              <w:bottom w:val="single" w:sz="8" w:color="929292"/>
            </w:tcBorders>
            <w:vMerge w:val="continue"/>
          </w:tcPr>
          <w:p>
            <w:pPr>
              <w:spacing w:after="0"/>
              <w:rPr>
                <w:sz w:val="20"/>
                <w:szCs w:val="20"/>
                <w:color w:val="auto"/>
              </w:rPr>
            </w:pPr>
          </w:p>
        </w:tc>
        <w:tc>
          <w:tcPr>
            <w:tcW w:w="660" w:type="dxa"/>
            <w:vAlign w:val="bottom"/>
            <w:tcBorders>
              <w:bottom w:val="single" w:sz="8" w:color="929292"/>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840" w:type="dxa"/>
            <w:vAlign w:val="bottom"/>
            <w:tcBorders>
              <w:top w:val="single" w:sz="8" w:color="DBDBDB"/>
            </w:tcBorders>
          </w:tcPr>
          <w:p>
            <w:pPr>
              <w:ind w:left="20"/>
              <w:spacing w:after="0" w:line="153" w:lineRule="exact"/>
              <w:rPr>
                <w:sz w:val="20"/>
                <w:szCs w:val="20"/>
                <w:color w:val="auto"/>
              </w:rPr>
            </w:pPr>
            <w:r>
              <w:rPr>
                <w:rFonts w:ascii="Times New Roman" w:cs="Times New Roman" w:eastAsia="Times New Roman" w:hAnsi="Times New Roman"/>
                <w:sz w:val="14"/>
                <w:szCs w:val="14"/>
                <w:color w:val="666666"/>
              </w:rPr>
              <w:t>Cost of equipment sales, exclusive of</w:t>
            </w:r>
          </w:p>
        </w:tc>
        <w:tc>
          <w:tcPr>
            <w:tcW w:w="140" w:type="dxa"/>
            <w:vAlign w:val="bottom"/>
            <w:tcBorders>
              <w:top w:val="single" w:sz="8" w:color="DBDBDB"/>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4,798</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4,659</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4,853</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6,967</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5,488</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5,055</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5,444</w:t>
            </w:r>
          </w:p>
        </w:tc>
        <w:tc>
          <w:tcPr>
            <w:tcW w:w="300" w:type="dxa"/>
            <w:vAlign w:val="bottom"/>
            <w:tcBorders>
              <w:top w:val="single" w:sz="8" w:color="DBDBDB"/>
            </w:tcBorders>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14,310</w:t>
            </w:r>
          </w:p>
        </w:tc>
        <w:tc>
          <w:tcPr>
            <w:tcW w:w="280" w:type="dxa"/>
            <w:vAlign w:val="bottom"/>
            <w:tcBorders>
              <w:top w:val="single" w:sz="8" w:color="DBDBDB"/>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DBDBDB"/>
            </w:tcBorders>
            <w:vMerge w:val="restart"/>
          </w:tcPr>
          <w:p>
            <w:pPr>
              <w:jc w:val="right"/>
              <w:ind w:right="105"/>
              <w:spacing w:after="0"/>
              <w:rPr>
                <w:sz w:val="20"/>
                <w:szCs w:val="20"/>
                <w:color w:val="auto"/>
              </w:rPr>
            </w:pPr>
            <w:r>
              <w:rPr>
                <w:rFonts w:ascii="Times New Roman" w:cs="Times New Roman" w:eastAsia="Times New Roman" w:hAnsi="Times New Roman"/>
                <w:sz w:val="14"/>
                <w:szCs w:val="14"/>
                <w:color w:val="666666"/>
              </w:rPr>
              <w:t>15,987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depreciation and amortization</w:t>
            </w: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UScellular merger-related costs</w:t>
            </w: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14</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23</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Other Special Items</w:t>
            </w:r>
          </w:p>
        </w:tc>
        <w:tc>
          <w:tcPr>
            <w:tcW w:w="14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840" w:type="dxa"/>
            <w:vAlign w:val="bottom"/>
            <w:shd w:val="clear" w:color="auto" w:fill="DBDBDB"/>
          </w:tcPr>
          <w:p>
            <w:pPr>
              <w:ind w:left="20"/>
              <w:spacing w:after="0" w:line="133" w:lineRule="exact"/>
              <w:rPr>
                <w:sz w:val="20"/>
                <w:szCs w:val="20"/>
                <w:color w:val="auto"/>
              </w:rPr>
            </w:pPr>
            <w:r>
              <w:rPr>
                <w:rFonts w:ascii="Times New Roman" w:cs="Times New Roman" w:eastAsia="Times New Roman" w:hAnsi="Times New Roman"/>
                <w:sz w:val="14"/>
                <w:szCs w:val="14"/>
                <w:color w:val="666666"/>
              </w:rPr>
              <w:t>Cost of equipment sales, exclusive of</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4,798</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4,659</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4,851</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6,959</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5,466</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5,032</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5,442</w:t>
            </w:r>
          </w:p>
        </w:tc>
        <w:tc>
          <w:tcPr>
            <w:tcW w:w="300" w:type="dxa"/>
            <w:vAlign w:val="bottom"/>
            <w:gridSpan w:val="2"/>
            <w:vMerge w:val="restart"/>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14,308</w:t>
            </w:r>
          </w:p>
        </w:tc>
        <w:tc>
          <w:tcPr>
            <w:tcW w:w="280" w:type="dxa"/>
            <w:vAlign w:val="bottom"/>
            <w:gridSpan w:val="2"/>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vMerge w:val="restart"/>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15,940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depreciation and amortization and Special Items</w:t>
            </w:r>
          </w:p>
        </w:tc>
        <w:tc>
          <w:tcPr>
            <w:tcW w:w="140" w:type="dxa"/>
            <w:vAlign w:val="bottom"/>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2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300" w:type="dxa"/>
            <w:vAlign w:val="bottom"/>
            <w:gridSpan w:val="2"/>
            <w:vMerge w:val="continue"/>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80" w:type="dxa"/>
            <w:vAlign w:val="bottom"/>
            <w:gridSpan w:val="2"/>
            <w:vMerge w:val="continue"/>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84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2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20" w:type="dxa"/>
            <w:vAlign w:val="bottom"/>
            <w:tcBorders>
              <w:top w:val="single" w:sz="8" w:color="929292"/>
            </w:tcBorders>
          </w:tcPr>
          <w:p>
            <w:pPr>
              <w:spacing w:after="0"/>
              <w:rPr>
                <w:sz w:val="2"/>
                <w:szCs w:val="2"/>
                <w:color w:val="auto"/>
              </w:rPr>
            </w:pPr>
          </w:p>
        </w:tc>
        <w:tc>
          <w:tcPr>
            <w:tcW w:w="72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4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20" w:type="dxa"/>
            <w:vAlign w:val="bottom"/>
            <w:tcBorders>
              <w:top w:val="single" w:sz="8" w:color="929292"/>
            </w:tcBorders>
          </w:tcPr>
          <w:p>
            <w:pPr>
              <w:spacing w:after="0"/>
              <w:rPr>
                <w:sz w:val="2"/>
                <w:szCs w:val="2"/>
                <w:color w:val="auto"/>
              </w:rPr>
            </w:pPr>
          </w:p>
        </w:tc>
        <w:tc>
          <w:tcPr>
            <w:tcW w:w="700" w:type="dxa"/>
            <w:vAlign w:val="bottom"/>
            <w:tcBorders>
              <w:top w:val="single" w:sz="8" w:color="929292"/>
            </w:tcBorders>
          </w:tcPr>
          <w:p>
            <w:pPr>
              <w:spacing w:after="0"/>
              <w:rPr>
                <w:sz w:val="2"/>
                <w:szCs w:val="2"/>
                <w:color w:val="auto"/>
              </w:rPr>
            </w:pPr>
          </w:p>
        </w:tc>
        <w:tc>
          <w:tcPr>
            <w:tcW w:w="120" w:type="dxa"/>
            <w:vAlign w:val="bottom"/>
            <w:tcBorders>
              <w:top w:val="single" w:sz="8" w:color="DBDBDB"/>
            </w:tcBorders>
          </w:tcPr>
          <w:p>
            <w:pPr>
              <w:spacing w:after="0"/>
              <w:rPr>
                <w:sz w:val="2"/>
                <w:szCs w:val="2"/>
                <w:color w:val="auto"/>
              </w:rPr>
            </w:pPr>
          </w:p>
        </w:tc>
        <w:tc>
          <w:tcPr>
            <w:tcW w:w="180" w:type="dxa"/>
            <w:vAlign w:val="bottom"/>
            <w:tcBorders>
              <w:top w:val="single" w:sz="8" w:color="929292"/>
            </w:tcBorders>
          </w:tcPr>
          <w:p>
            <w:pPr>
              <w:spacing w:after="0"/>
              <w:rPr>
                <w:sz w:val="2"/>
                <w:szCs w:val="2"/>
                <w:color w:val="auto"/>
              </w:rPr>
            </w:pPr>
          </w:p>
        </w:tc>
        <w:tc>
          <w:tcPr>
            <w:tcW w:w="660" w:type="dxa"/>
            <w:vAlign w:val="bottom"/>
            <w:tcBorders>
              <w:top w:val="single" w:sz="8" w:color="929292"/>
            </w:tcBorders>
          </w:tcPr>
          <w:p>
            <w:pPr>
              <w:spacing w:after="0"/>
              <w:rPr>
                <w:sz w:val="2"/>
                <w:szCs w:val="2"/>
                <w:color w:val="auto"/>
              </w:rPr>
            </w:pPr>
          </w:p>
        </w:tc>
        <w:tc>
          <w:tcPr>
            <w:tcW w:w="100" w:type="dxa"/>
            <w:vAlign w:val="bottom"/>
            <w:tcBorders>
              <w:top w:val="single" w:sz="8" w:color="DBDBDB"/>
            </w:tcBorders>
          </w:tcPr>
          <w:p>
            <w:pPr>
              <w:spacing w:after="0"/>
              <w:rPr>
                <w:sz w:val="2"/>
                <w:szCs w:val="2"/>
                <w:color w:val="auto"/>
              </w:rPr>
            </w:pPr>
          </w:p>
        </w:tc>
        <w:tc>
          <w:tcPr>
            <w:tcW w:w="180" w:type="dxa"/>
            <w:vAlign w:val="bottom"/>
            <w:tcBorders>
              <w:top w:val="single" w:sz="8" w:color="929292"/>
            </w:tcBorders>
          </w:tcPr>
          <w:p>
            <w:pPr>
              <w:spacing w:after="0"/>
              <w:rPr>
                <w:sz w:val="2"/>
                <w:szCs w:val="2"/>
                <w:color w:val="auto"/>
              </w:rPr>
            </w:pPr>
          </w:p>
        </w:tc>
        <w:tc>
          <w:tcPr>
            <w:tcW w:w="660" w:type="dxa"/>
            <w:vAlign w:val="bottom"/>
            <w:tcBorders>
              <w:top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Selling, general and administrative</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5,488</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5,397</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6,015</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6,570</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5,966</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5,834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6,020</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16,900</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17,820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UScellular merger-related costs</w:t>
            </w:r>
          </w:p>
        </w:tc>
        <w:tc>
          <w:tcPr>
            <w:tcW w:w="14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268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Other Special Items</w:t>
            </w: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59</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(51)</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123</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353</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209</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150</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137</w:t>
            </w: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131</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666666"/>
              </w:rPr>
              <w:t>Selling, general and administrative, excluding</w:t>
            </w: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5,415</w:t>
            </w:r>
          </w:p>
        </w:tc>
        <w:tc>
          <w:tcPr>
            <w:tcW w:w="100" w:type="dxa"/>
            <w:vAlign w:val="bottom"/>
            <w:vMerge w:val="restart"/>
          </w:tcPr>
          <w:p>
            <w:pPr>
              <w:spacing w:after="0"/>
              <w:rPr>
                <w:sz w:val="11"/>
                <w:szCs w:val="11"/>
                <w:color w:val="auto"/>
              </w:rPr>
            </w:pP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5,415</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00" w:type="dxa"/>
            <w:vAlign w:val="bottom"/>
            <w:tcBorders>
              <w:top w:val="single" w:sz="8" w:color="929292"/>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5,828</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2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6,106</w:t>
            </w:r>
          </w:p>
        </w:tc>
        <w:tc>
          <w:tcPr>
            <w:tcW w:w="100" w:type="dxa"/>
            <w:vAlign w:val="bottom"/>
            <w:vMerge w:val="restart"/>
          </w:tcPr>
          <w:p>
            <w:pPr>
              <w:spacing w:after="0"/>
              <w:rPr>
                <w:sz w:val="11"/>
                <w:szCs w:val="11"/>
                <w:color w:val="auto"/>
              </w:rPr>
            </w:pP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5,709</w:t>
            </w:r>
          </w:p>
        </w:tc>
        <w:tc>
          <w:tcPr>
            <w:tcW w:w="100" w:type="dxa"/>
            <w:vAlign w:val="bottom"/>
            <w:vMerge w:val="restart"/>
          </w:tcPr>
          <w:p>
            <w:pPr>
              <w:spacing w:after="0"/>
              <w:rPr>
                <w:sz w:val="11"/>
                <w:szCs w:val="11"/>
                <w:color w:val="auto"/>
              </w:rPr>
            </w:pPr>
          </w:p>
        </w:tc>
        <w:tc>
          <w:tcPr>
            <w:tcW w:w="14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5,569</w:t>
            </w:r>
          </w:p>
        </w:tc>
        <w:tc>
          <w:tcPr>
            <w:tcW w:w="120" w:type="dxa"/>
            <w:vAlign w:val="bottom"/>
            <w:vMerge w:val="restart"/>
          </w:tcPr>
          <w:p>
            <w:pPr>
              <w:spacing w:after="0"/>
              <w:rPr>
                <w:sz w:val="11"/>
                <w:szCs w:val="11"/>
                <w:color w:val="auto"/>
              </w:rPr>
            </w:pPr>
          </w:p>
        </w:tc>
        <w:tc>
          <w:tcPr>
            <w:tcW w:w="120" w:type="dxa"/>
            <w:vAlign w:val="bottom"/>
            <w:tcBorders>
              <w:top w:val="single" w:sz="8" w:color="929292"/>
            </w:tcBorders>
            <w:vMerge w:val="restart"/>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0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5,778</w:t>
            </w:r>
          </w:p>
        </w:tc>
        <w:tc>
          <w:tcPr>
            <w:tcW w:w="120" w:type="dxa"/>
            <w:vAlign w:val="bottom"/>
            <w:vMerge w:val="restart"/>
          </w:tcPr>
          <w:p>
            <w:pPr>
              <w:spacing w:after="0"/>
              <w:rPr>
                <w:sz w:val="11"/>
                <w:szCs w:val="11"/>
                <w:color w:val="auto"/>
              </w:rPr>
            </w:pPr>
          </w:p>
        </w:tc>
        <w:tc>
          <w:tcPr>
            <w:tcW w:w="180" w:type="dxa"/>
            <w:vAlign w:val="bottom"/>
            <w:tcBorders>
              <w:top w:val="single" w:sz="8" w:color="929292"/>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Borders>
              <w:top w:val="single" w:sz="8" w:color="929292"/>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16,658</w:t>
            </w:r>
          </w:p>
        </w:tc>
        <w:tc>
          <w:tcPr>
            <w:tcW w:w="100" w:type="dxa"/>
            <w:vAlign w:val="bottom"/>
            <w:vMerge w:val="restart"/>
          </w:tcPr>
          <w:p>
            <w:pPr>
              <w:spacing w:after="0"/>
              <w:rPr>
                <w:sz w:val="11"/>
                <w:szCs w:val="11"/>
                <w:color w:val="auto"/>
              </w:rPr>
            </w:pPr>
          </w:p>
        </w:tc>
        <w:tc>
          <w:tcPr>
            <w:tcW w:w="180" w:type="dxa"/>
            <w:vAlign w:val="bottom"/>
            <w:tcBorders>
              <w:top w:val="single" w:sz="8" w:color="929292"/>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tcBorders>
            <w:vMerge w:val="restart"/>
          </w:tcPr>
          <w:p>
            <w:pPr>
              <w:jc w:val="right"/>
              <w:ind w:right="105"/>
              <w:spacing w:after="0"/>
              <w:rPr>
                <w:sz w:val="20"/>
                <w:szCs w:val="20"/>
                <w:color w:val="auto"/>
              </w:rPr>
            </w:pPr>
            <w:r>
              <w:rPr>
                <w:rFonts w:ascii="Times New Roman" w:cs="Times New Roman" w:eastAsia="Times New Roman" w:hAnsi="Times New Roman"/>
                <w:sz w:val="14"/>
                <w:szCs w:val="14"/>
                <w:color w:val="666666"/>
              </w:rPr>
              <w:t>17,056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28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4"/>
                <w:szCs w:val="14"/>
                <w:color w:val="666666"/>
              </w:rPr>
              <w:t>Special Items</w:t>
            </w:r>
          </w:p>
        </w:tc>
        <w:tc>
          <w:tcPr>
            <w:tcW w:w="140" w:type="dxa"/>
            <w:vAlign w:val="bottom"/>
            <w:tcBorders>
              <w:bottom w:val="single" w:sz="8" w:color="929292"/>
            </w:tcBorders>
            <w:vMerge w:val="continue"/>
          </w:tcPr>
          <w:p>
            <w:pPr>
              <w:spacing w:after="0"/>
              <w:rPr>
                <w:sz w:val="21"/>
                <w:szCs w:val="21"/>
                <w:color w:val="auto"/>
              </w:rPr>
            </w:pPr>
          </w:p>
        </w:tc>
        <w:tc>
          <w:tcPr>
            <w:tcW w:w="700" w:type="dxa"/>
            <w:vAlign w:val="bottom"/>
            <w:tcBorders>
              <w:bottom w:val="single" w:sz="8" w:color="929292"/>
            </w:tcBorders>
            <w:vMerge w:val="continue"/>
          </w:tcPr>
          <w:p>
            <w:pPr>
              <w:spacing w:after="0"/>
              <w:rPr>
                <w:sz w:val="21"/>
                <w:szCs w:val="21"/>
                <w:color w:val="auto"/>
              </w:rPr>
            </w:pPr>
          </w:p>
        </w:tc>
        <w:tc>
          <w:tcPr>
            <w:tcW w:w="100" w:type="dxa"/>
            <w:vAlign w:val="bottom"/>
            <w:tcBorders>
              <w:bottom w:val="single" w:sz="8" w:color="DBDBDB"/>
            </w:tcBorders>
            <w:vMerge w:val="continue"/>
          </w:tcPr>
          <w:p>
            <w:pPr>
              <w:spacing w:after="0"/>
              <w:rPr>
                <w:sz w:val="21"/>
                <w:szCs w:val="21"/>
                <w:color w:val="auto"/>
              </w:rPr>
            </w:pPr>
          </w:p>
        </w:tc>
        <w:tc>
          <w:tcPr>
            <w:tcW w:w="140" w:type="dxa"/>
            <w:vAlign w:val="bottom"/>
            <w:tcBorders>
              <w:bottom w:val="single" w:sz="8" w:color="929292"/>
            </w:tcBorders>
            <w:vMerge w:val="continue"/>
          </w:tcPr>
          <w:p>
            <w:pPr>
              <w:spacing w:after="0"/>
              <w:rPr>
                <w:sz w:val="21"/>
                <w:szCs w:val="21"/>
                <w:color w:val="auto"/>
              </w:rPr>
            </w:pPr>
          </w:p>
        </w:tc>
        <w:tc>
          <w:tcPr>
            <w:tcW w:w="700" w:type="dxa"/>
            <w:vAlign w:val="bottom"/>
            <w:tcBorders>
              <w:bottom w:val="single" w:sz="8" w:color="929292"/>
            </w:tcBorders>
            <w:vMerge w:val="continue"/>
          </w:tcPr>
          <w:p>
            <w:pPr>
              <w:spacing w:after="0"/>
              <w:rPr>
                <w:sz w:val="21"/>
                <w:szCs w:val="21"/>
                <w:color w:val="auto"/>
              </w:rPr>
            </w:pPr>
          </w:p>
        </w:tc>
        <w:tc>
          <w:tcPr>
            <w:tcW w:w="120" w:type="dxa"/>
            <w:vAlign w:val="bottom"/>
            <w:tcBorders>
              <w:bottom w:val="single" w:sz="8" w:color="DBDBDB"/>
            </w:tcBorders>
            <w:vMerge w:val="continue"/>
          </w:tcPr>
          <w:p>
            <w:pPr>
              <w:spacing w:after="0"/>
              <w:rPr>
                <w:sz w:val="21"/>
                <w:szCs w:val="21"/>
                <w:color w:val="auto"/>
              </w:rPr>
            </w:pPr>
          </w:p>
        </w:tc>
        <w:tc>
          <w:tcPr>
            <w:tcW w:w="120" w:type="dxa"/>
            <w:vAlign w:val="bottom"/>
            <w:tcBorders>
              <w:bottom w:val="single" w:sz="8" w:color="929292"/>
            </w:tcBorders>
            <w:vMerge w:val="continue"/>
          </w:tcPr>
          <w:p>
            <w:pPr>
              <w:spacing w:after="0"/>
              <w:rPr>
                <w:sz w:val="21"/>
                <w:szCs w:val="21"/>
                <w:color w:val="auto"/>
              </w:rPr>
            </w:pPr>
          </w:p>
        </w:tc>
        <w:tc>
          <w:tcPr>
            <w:tcW w:w="700" w:type="dxa"/>
            <w:vAlign w:val="bottom"/>
            <w:tcBorders>
              <w:bottom w:val="single" w:sz="8" w:color="929292"/>
            </w:tcBorders>
            <w:vMerge w:val="continue"/>
          </w:tcPr>
          <w:p>
            <w:pPr>
              <w:spacing w:after="0"/>
              <w:rPr>
                <w:sz w:val="21"/>
                <w:szCs w:val="21"/>
                <w:color w:val="auto"/>
              </w:rPr>
            </w:pPr>
          </w:p>
        </w:tc>
        <w:tc>
          <w:tcPr>
            <w:tcW w:w="120" w:type="dxa"/>
            <w:vAlign w:val="bottom"/>
            <w:tcBorders>
              <w:bottom w:val="single" w:sz="8" w:color="DBDBDB"/>
            </w:tcBorders>
            <w:vMerge w:val="continue"/>
          </w:tcPr>
          <w:p>
            <w:pPr>
              <w:spacing w:after="0"/>
              <w:rPr>
                <w:sz w:val="21"/>
                <w:szCs w:val="21"/>
                <w:color w:val="auto"/>
              </w:rPr>
            </w:pPr>
          </w:p>
        </w:tc>
        <w:tc>
          <w:tcPr>
            <w:tcW w:w="120" w:type="dxa"/>
            <w:vAlign w:val="bottom"/>
            <w:tcBorders>
              <w:bottom w:val="single" w:sz="8" w:color="929292"/>
            </w:tcBorders>
            <w:vMerge w:val="continue"/>
          </w:tcPr>
          <w:p>
            <w:pPr>
              <w:spacing w:after="0"/>
              <w:rPr>
                <w:sz w:val="21"/>
                <w:szCs w:val="21"/>
                <w:color w:val="auto"/>
              </w:rPr>
            </w:pPr>
          </w:p>
        </w:tc>
        <w:tc>
          <w:tcPr>
            <w:tcW w:w="720" w:type="dxa"/>
            <w:vAlign w:val="bottom"/>
            <w:tcBorders>
              <w:bottom w:val="single" w:sz="8" w:color="929292"/>
            </w:tcBorders>
            <w:vMerge w:val="continue"/>
          </w:tcPr>
          <w:p>
            <w:pPr>
              <w:spacing w:after="0"/>
              <w:rPr>
                <w:sz w:val="21"/>
                <w:szCs w:val="21"/>
                <w:color w:val="auto"/>
              </w:rPr>
            </w:pPr>
          </w:p>
        </w:tc>
        <w:tc>
          <w:tcPr>
            <w:tcW w:w="100" w:type="dxa"/>
            <w:vAlign w:val="bottom"/>
            <w:tcBorders>
              <w:bottom w:val="single" w:sz="8" w:color="DBDBDB"/>
            </w:tcBorders>
            <w:vMerge w:val="continue"/>
          </w:tcPr>
          <w:p>
            <w:pPr>
              <w:spacing w:after="0"/>
              <w:rPr>
                <w:sz w:val="21"/>
                <w:szCs w:val="21"/>
                <w:color w:val="auto"/>
              </w:rPr>
            </w:pPr>
          </w:p>
        </w:tc>
        <w:tc>
          <w:tcPr>
            <w:tcW w:w="140" w:type="dxa"/>
            <w:vAlign w:val="bottom"/>
            <w:tcBorders>
              <w:bottom w:val="single" w:sz="8" w:color="929292"/>
            </w:tcBorders>
            <w:vMerge w:val="continue"/>
          </w:tcPr>
          <w:p>
            <w:pPr>
              <w:spacing w:after="0"/>
              <w:rPr>
                <w:sz w:val="21"/>
                <w:szCs w:val="21"/>
                <w:color w:val="auto"/>
              </w:rPr>
            </w:pPr>
          </w:p>
        </w:tc>
        <w:tc>
          <w:tcPr>
            <w:tcW w:w="700" w:type="dxa"/>
            <w:vAlign w:val="bottom"/>
            <w:tcBorders>
              <w:bottom w:val="single" w:sz="8" w:color="929292"/>
            </w:tcBorders>
            <w:vMerge w:val="continue"/>
          </w:tcPr>
          <w:p>
            <w:pPr>
              <w:spacing w:after="0"/>
              <w:rPr>
                <w:sz w:val="21"/>
                <w:szCs w:val="21"/>
                <w:color w:val="auto"/>
              </w:rPr>
            </w:pPr>
          </w:p>
        </w:tc>
        <w:tc>
          <w:tcPr>
            <w:tcW w:w="100" w:type="dxa"/>
            <w:vAlign w:val="bottom"/>
            <w:tcBorders>
              <w:bottom w:val="single" w:sz="8" w:color="DBDBDB"/>
            </w:tcBorders>
            <w:vMerge w:val="continue"/>
          </w:tcPr>
          <w:p>
            <w:pPr>
              <w:spacing w:after="0"/>
              <w:rPr>
                <w:sz w:val="21"/>
                <w:szCs w:val="21"/>
                <w:color w:val="auto"/>
              </w:rPr>
            </w:pPr>
          </w:p>
        </w:tc>
        <w:tc>
          <w:tcPr>
            <w:tcW w:w="140" w:type="dxa"/>
            <w:vAlign w:val="bottom"/>
            <w:tcBorders>
              <w:bottom w:val="single" w:sz="8" w:color="929292"/>
            </w:tcBorders>
            <w:vMerge w:val="continue"/>
          </w:tcPr>
          <w:p>
            <w:pPr>
              <w:spacing w:after="0"/>
              <w:rPr>
                <w:sz w:val="21"/>
                <w:szCs w:val="21"/>
                <w:color w:val="auto"/>
              </w:rPr>
            </w:pPr>
          </w:p>
        </w:tc>
        <w:tc>
          <w:tcPr>
            <w:tcW w:w="700" w:type="dxa"/>
            <w:vAlign w:val="bottom"/>
            <w:tcBorders>
              <w:bottom w:val="single" w:sz="8" w:color="929292"/>
            </w:tcBorders>
            <w:vMerge w:val="continue"/>
          </w:tcPr>
          <w:p>
            <w:pPr>
              <w:spacing w:after="0"/>
              <w:rPr>
                <w:sz w:val="21"/>
                <w:szCs w:val="21"/>
                <w:color w:val="auto"/>
              </w:rPr>
            </w:pPr>
          </w:p>
        </w:tc>
        <w:tc>
          <w:tcPr>
            <w:tcW w:w="120" w:type="dxa"/>
            <w:vAlign w:val="bottom"/>
            <w:tcBorders>
              <w:bottom w:val="single" w:sz="8" w:color="DBDBDB"/>
            </w:tcBorders>
            <w:vMerge w:val="continue"/>
          </w:tcPr>
          <w:p>
            <w:pPr>
              <w:spacing w:after="0"/>
              <w:rPr>
                <w:sz w:val="21"/>
                <w:szCs w:val="21"/>
                <w:color w:val="auto"/>
              </w:rPr>
            </w:pPr>
          </w:p>
        </w:tc>
        <w:tc>
          <w:tcPr>
            <w:tcW w:w="120" w:type="dxa"/>
            <w:vAlign w:val="bottom"/>
            <w:tcBorders>
              <w:bottom w:val="single" w:sz="8" w:color="929292"/>
            </w:tcBorders>
            <w:vMerge w:val="continue"/>
          </w:tcPr>
          <w:p>
            <w:pPr>
              <w:spacing w:after="0"/>
              <w:rPr>
                <w:sz w:val="21"/>
                <w:szCs w:val="21"/>
                <w:color w:val="auto"/>
              </w:rPr>
            </w:pPr>
          </w:p>
        </w:tc>
        <w:tc>
          <w:tcPr>
            <w:tcW w:w="700" w:type="dxa"/>
            <w:vAlign w:val="bottom"/>
            <w:tcBorders>
              <w:bottom w:val="single" w:sz="8" w:color="929292"/>
            </w:tcBorders>
            <w:vMerge w:val="continue"/>
          </w:tcPr>
          <w:p>
            <w:pPr>
              <w:spacing w:after="0"/>
              <w:rPr>
                <w:sz w:val="21"/>
                <w:szCs w:val="21"/>
                <w:color w:val="auto"/>
              </w:rPr>
            </w:pPr>
          </w:p>
        </w:tc>
        <w:tc>
          <w:tcPr>
            <w:tcW w:w="120" w:type="dxa"/>
            <w:vAlign w:val="bottom"/>
            <w:tcBorders>
              <w:bottom w:val="single" w:sz="8" w:color="DBDBDB"/>
            </w:tcBorders>
            <w:vMerge w:val="continue"/>
          </w:tcPr>
          <w:p>
            <w:pPr>
              <w:spacing w:after="0"/>
              <w:rPr>
                <w:sz w:val="21"/>
                <w:szCs w:val="21"/>
                <w:color w:val="auto"/>
              </w:rPr>
            </w:pPr>
          </w:p>
        </w:tc>
        <w:tc>
          <w:tcPr>
            <w:tcW w:w="180" w:type="dxa"/>
            <w:vAlign w:val="bottom"/>
            <w:tcBorders>
              <w:bottom w:val="single" w:sz="8" w:color="929292"/>
            </w:tcBorders>
            <w:vMerge w:val="continue"/>
          </w:tcPr>
          <w:p>
            <w:pPr>
              <w:spacing w:after="0"/>
              <w:rPr>
                <w:sz w:val="21"/>
                <w:szCs w:val="21"/>
                <w:color w:val="auto"/>
              </w:rPr>
            </w:pPr>
          </w:p>
        </w:tc>
        <w:tc>
          <w:tcPr>
            <w:tcW w:w="660" w:type="dxa"/>
            <w:vAlign w:val="bottom"/>
            <w:tcBorders>
              <w:bottom w:val="single" w:sz="8" w:color="929292"/>
            </w:tcBorders>
            <w:vMerge w:val="continue"/>
          </w:tcPr>
          <w:p>
            <w:pPr>
              <w:spacing w:after="0"/>
              <w:rPr>
                <w:sz w:val="21"/>
                <w:szCs w:val="21"/>
                <w:color w:val="auto"/>
              </w:rPr>
            </w:pPr>
          </w:p>
        </w:tc>
        <w:tc>
          <w:tcPr>
            <w:tcW w:w="100" w:type="dxa"/>
            <w:vAlign w:val="bottom"/>
            <w:tcBorders>
              <w:bottom w:val="single" w:sz="8" w:color="DBDBDB"/>
            </w:tcBorders>
            <w:vMerge w:val="continue"/>
          </w:tcPr>
          <w:p>
            <w:pPr>
              <w:spacing w:after="0"/>
              <w:rPr>
                <w:sz w:val="21"/>
                <w:szCs w:val="21"/>
                <w:color w:val="auto"/>
              </w:rPr>
            </w:pPr>
          </w:p>
        </w:tc>
        <w:tc>
          <w:tcPr>
            <w:tcW w:w="180" w:type="dxa"/>
            <w:vAlign w:val="bottom"/>
            <w:tcBorders>
              <w:bottom w:val="single" w:sz="8" w:color="929292"/>
            </w:tcBorders>
            <w:vMerge w:val="continue"/>
          </w:tcPr>
          <w:p>
            <w:pPr>
              <w:spacing w:after="0"/>
              <w:rPr>
                <w:sz w:val="21"/>
                <w:szCs w:val="21"/>
                <w:color w:val="auto"/>
              </w:rPr>
            </w:pPr>
          </w:p>
        </w:tc>
        <w:tc>
          <w:tcPr>
            <w:tcW w:w="660" w:type="dxa"/>
            <w:vAlign w:val="bottom"/>
            <w:tcBorders>
              <w:bottom w:val="single" w:sz="8" w:color="929292"/>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840" w:type="dxa"/>
            <w:vAlign w:val="bottom"/>
            <w:tcBorders>
              <w:top w:val="single" w:sz="8" w:color="DBDBDB"/>
            </w:tcBorders>
          </w:tcPr>
          <w:p>
            <w:pPr>
              <w:ind w:left="20"/>
              <w:spacing w:after="0" w:line="153" w:lineRule="exact"/>
              <w:rPr>
                <w:sz w:val="20"/>
                <w:szCs w:val="20"/>
                <w:color w:val="auto"/>
              </w:rPr>
            </w:pPr>
            <w:r>
              <w:rPr>
                <w:rFonts w:ascii="Times New Roman" w:cs="Times New Roman" w:eastAsia="Times New Roman" w:hAnsi="Times New Roman"/>
                <w:sz w:val="14"/>
                <w:szCs w:val="14"/>
                <w:color w:val="666666"/>
              </w:rPr>
              <w:t>Total bad debt expense and losses from sales of</w:t>
            </w:r>
          </w:p>
        </w:tc>
        <w:tc>
          <w:tcPr>
            <w:tcW w:w="140" w:type="dxa"/>
            <w:vAlign w:val="bottom"/>
            <w:tcBorders>
              <w:top w:val="single" w:sz="8" w:color="DBDBDB"/>
            </w:tcBorders>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345</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284</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7"/>
              <w:spacing w:after="0"/>
              <w:rPr>
                <w:sz w:val="20"/>
                <w:szCs w:val="20"/>
                <w:color w:val="auto"/>
              </w:rPr>
            </w:pPr>
            <w:r>
              <w:rPr>
                <w:rFonts w:ascii="Times New Roman" w:cs="Times New Roman" w:eastAsia="Times New Roman" w:hAnsi="Times New Roman"/>
                <w:sz w:val="14"/>
                <w:szCs w:val="14"/>
                <w:color w:val="666666"/>
              </w:rPr>
              <w:t>354</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445</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446</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415</w:t>
            </w:r>
          </w:p>
        </w:tc>
        <w:tc>
          <w:tcPr>
            <w:tcW w:w="240" w:type="dxa"/>
            <w:vAlign w:val="bottom"/>
            <w:tcBorders>
              <w:top w:val="single" w:sz="8" w:color="DBDBDB"/>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452</w:t>
            </w:r>
          </w:p>
        </w:tc>
        <w:tc>
          <w:tcPr>
            <w:tcW w:w="300" w:type="dxa"/>
            <w:vAlign w:val="bottom"/>
            <w:tcBorders>
              <w:top w:val="single" w:sz="8" w:color="DBDBDB"/>
            </w:tcBorders>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DBDBDB"/>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666666"/>
              </w:rPr>
              <w:t>983</w:t>
            </w:r>
          </w:p>
        </w:tc>
        <w:tc>
          <w:tcPr>
            <w:tcW w:w="280" w:type="dxa"/>
            <w:vAlign w:val="bottom"/>
            <w:tcBorders>
              <w:top w:val="single" w:sz="8" w:color="DBDBDB"/>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DBDBDB"/>
            </w:tcBorders>
            <w:vMerge w:val="restart"/>
          </w:tcPr>
          <w:p>
            <w:pPr>
              <w:jc w:val="right"/>
              <w:ind w:right="105"/>
              <w:spacing w:after="0"/>
              <w:rPr>
                <w:sz w:val="20"/>
                <w:szCs w:val="20"/>
                <w:color w:val="auto"/>
              </w:rPr>
            </w:pPr>
            <w:r>
              <w:rPr>
                <w:rFonts w:ascii="Times New Roman" w:cs="Times New Roman" w:eastAsia="Times New Roman" w:hAnsi="Times New Roman"/>
                <w:sz w:val="14"/>
                <w:szCs w:val="14"/>
                <w:color w:val="666666"/>
              </w:rPr>
              <w:t>1,313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receivables</w:t>
            </w: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DBDBDB"/>
          </w:tcPr>
          <w:p>
            <w:pPr>
              <w:ind w:left="20"/>
              <w:spacing w:after="0" w:line="158" w:lineRule="exact"/>
              <w:rPr>
                <w:sz w:val="20"/>
                <w:szCs w:val="20"/>
                <w:color w:val="auto"/>
              </w:rPr>
            </w:pPr>
            <w:r>
              <w:rPr>
                <w:rFonts w:ascii="Times New Roman" w:cs="Times New Roman" w:eastAsia="Times New Roman" w:hAnsi="Times New Roman"/>
                <w:sz w:val="14"/>
                <w:szCs w:val="14"/>
                <w:color w:val="666666"/>
              </w:rPr>
              <w:t>Bad debt and losses from sales of receivables as</w:t>
            </w:r>
          </w:p>
        </w:tc>
        <w:tc>
          <w:tcPr>
            <w:tcW w:w="14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1.7 %</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1.3 %</w:t>
            </w: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1.6 %</w:t>
            </w: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1.8 %</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1.9 %</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1.8 %</w:t>
            </w: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1.9 %</w:t>
            </w:r>
          </w:p>
        </w:tc>
        <w:tc>
          <w:tcPr>
            <w:tcW w:w="1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1.5 %</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a percentage of Total revenues</w:t>
            </w:r>
          </w:p>
        </w:tc>
        <w:tc>
          <w:tcPr>
            <w:tcW w:w="14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ind w:left="20"/>
              <w:spacing w:after="0" w:line="153" w:lineRule="exact"/>
              <w:rPr>
                <w:sz w:val="20"/>
                <w:szCs w:val="20"/>
                <w:color w:val="auto"/>
              </w:rPr>
            </w:pPr>
            <w:r>
              <w:rPr>
                <w:rFonts w:ascii="Times New Roman" w:cs="Times New Roman" w:eastAsia="Times New Roman" w:hAnsi="Times New Roman"/>
                <w:sz w:val="14"/>
                <w:szCs w:val="14"/>
                <w:color w:val="666666"/>
              </w:rPr>
              <w:t>Cash purchases of property and equipment</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2,451</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2,396</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7"/>
              <w:spacing w:after="0"/>
              <w:rPr>
                <w:sz w:val="20"/>
                <w:szCs w:val="20"/>
                <w:color w:val="auto"/>
              </w:rPr>
            </w:pPr>
            <w:r>
              <w:rPr>
                <w:rFonts w:ascii="Times New Roman" w:cs="Times New Roman" w:eastAsia="Times New Roman" w:hAnsi="Times New Roman"/>
                <w:sz w:val="14"/>
                <w:szCs w:val="14"/>
                <w:color w:val="666666"/>
              </w:rPr>
              <w:t>2,639</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2,469</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2,623</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2,703</w:t>
            </w:r>
          </w:p>
        </w:tc>
        <w:tc>
          <w:tcPr>
            <w:tcW w:w="2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2,270</w:t>
            </w:r>
          </w:p>
        </w:tc>
        <w:tc>
          <w:tcPr>
            <w:tcW w:w="300" w:type="dxa"/>
            <w:vAlign w:val="bottom"/>
            <w:gridSpan w:val="2"/>
            <w:vMerge w:val="restart"/>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7,486</w:t>
            </w:r>
          </w:p>
        </w:tc>
        <w:tc>
          <w:tcPr>
            <w:tcW w:w="280" w:type="dxa"/>
            <w:vAlign w:val="bottom"/>
            <w:gridSpan w:val="2"/>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vMerge w:val="restart"/>
            <w:shd w:val="clear" w:color="auto" w:fill="DBDBDB"/>
          </w:tcPr>
          <w:p>
            <w:pPr>
              <w:jc w:val="right"/>
              <w:ind w:right="105"/>
              <w:spacing w:after="0"/>
              <w:rPr>
                <w:sz w:val="20"/>
                <w:szCs w:val="20"/>
                <w:color w:val="auto"/>
              </w:rPr>
            </w:pPr>
            <w:r>
              <w:rPr>
                <w:rFonts w:ascii="Times New Roman" w:cs="Times New Roman" w:eastAsia="Times New Roman" w:hAnsi="Times New Roman"/>
                <w:sz w:val="14"/>
                <w:szCs w:val="14"/>
                <w:color w:val="666666"/>
              </w:rPr>
              <w:t>7,596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including capitalized interest</w:t>
            </w:r>
          </w:p>
        </w:tc>
        <w:tc>
          <w:tcPr>
            <w:tcW w:w="140" w:type="dxa"/>
            <w:vAlign w:val="bottom"/>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2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240" w:type="dxa"/>
            <w:vAlign w:val="bottom"/>
            <w:gridSpan w:val="2"/>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300" w:type="dxa"/>
            <w:vAlign w:val="bottom"/>
            <w:gridSpan w:val="2"/>
            <w:vMerge w:val="continue"/>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80" w:type="dxa"/>
            <w:vAlign w:val="bottom"/>
            <w:gridSpan w:val="2"/>
            <w:vMerge w:val="continue"/>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Capitalized interest</w:t>
            </w:r>
          </w:p>
        </w:tc>
        <w:tc>
          <w:tcPr>
            <w:tcW w:w="14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2840" w:type="dxa"/>
            <w:vAlign w:val="bottom"/>
            <w:tcBorders>
              <w:bottom w:val="single" w:sz="8" w:color="DBDBDB"/>
            </w:tcBorders>
          </w:tcPr>
          <w:p>
            <w:pPr>
              <w:spacing w:after="0"/>
              <w:rPr>
                <w:sz w:val="5"/>
                <w:szCs w:val="5"/>
                <w:color w:val="auto"/>
              </w:rPr>
            </w:pPr>
          </w:p>
        </w:tc>
        <w:tc>
          <w:tcPr>
            <w:tcW w:w="140" w:type="dxa"/>
            <w:vAlign w:val="bottom"/>
            <w:tcBorders>
              <w:bottom w:val="single" w:sz="8" w:color="DBDBDB"/>
            </w:tcBorders>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2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300" w:type="dxa"/>
            <w:vAlign w:val="bottom"/>
            <w:tcBorders>
              <w:bottom w:val="single" w:sz="8" w:color="DBDBDB"/>
            </w:tcBorders>
            <w:gridSpan w:val="2"/>
          </w:tcPr>
          <w:p>
            <w:pPr>
              <w:spacing w:after="0"/>
              <w:rPr>
                <w:sz w:val="5"/>
                <w:szCs w:val="5"/>
                <w:color w:val="auto"/>
              </w:rPr>
            </w:pPr>
          </w:p>
        </w:tc>
        <w:tc>
          <w:tcPr>
            <w:tcW w:w="660" w:type="dxa"/>
            <w:vAlign w:val="bottom"/>
            <w:tcBorders>
              <w:bottom w:val="single" w:sz="8" w:color="DBDBDB"/>
            </w:tcBorders>
          </w:tcPr>
          <w:p>
            <w:pPr>
              <w:spacing w:after="0"/>
              <w:rPr>
                <w:sz w:val="5"/>
                <w:szCs w:val="5"/>
                <w:color w:val="auto"/>
              </w:rPr>
            </w:pPr>
          </w:p>
        </w:tc>
        <w:tc>
          <w:tcPr>
            <w:tcW w:w="280" w:type="dxa"/>
            <w:vAlign w:val="bottom"/>
            <w:tcBorders>
              <w:bottom w:val="single" w:sz="8" w:color="DBDBDB"/>
            </w:tcBorders>
            <w:gridSpan w:val="2"/>
          </w:tcPr>
          <w:p>
            <w:pPr>
              <w:spacing w:after="0"/>
              <w:rPr>
                <w:sz w:val="5"/>
                <w:szCs w:val="5"/>
                <w:color w:val="auto"/>
              </w:rPr>
            </w:pPr>
          </w:p>
        </w:tc>
        <w:tc>
          <w:tcPr>
            <w:tcW w:w="660" w:type="dxa"/>
            <w:vAlign w:val="bottom"/>
            <w:tcBorders>
              <w:bottom w:val="single" w:sz="8" w:color="DBDBDB"/>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Net cash proceeds from securitization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666666"/>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66666"/>
              </w:rPr>
              <w:t>(23)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666666"/>
              </w:rPr>
              <w:t>(25)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666666"/>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66666"/>
              </w:rPr>
              <w:t>(20)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66666"/>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66666"/>
              </w:rPr>
              <w:t>(20)</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666666"/>
              </w:rPr>
              <w:t>(74)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666666"/>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2840" w:type="dxa"/>
            <w:vAlign w:val="bottom"/>
            <w:tcBorders>
              <w:bottom w:val="single" w:sz="8" w:color="DBDBDB"/>
            </w:tcBorders>
          </w:tcPr>
          <w:p>
            <w:pPr>
              <w:spacing w:after="0"/>
              <w:rPr>
                <w:sz w:val="5"/>
                <w:szCs w:val="5"/>
                <w:color w:val="auto"/>
              </w:rPr>
            </w:pPr>
          </w:p>
        </w:tc>
        <w:tc>
          <w:tcPr>
            <w:tcW w:w="140" w:type="dxa"/>
            <w:vAlign w:val="bottom"/>
            <w:tcBorders>
              <w:bottom w:val="single" w:sz="8" w:color="DBDBDB"/>
            </w:tcBorders>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2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gridSpan w:val="2"/>
          </w:tcPr>
          <w:p>
            <w:pPr>
              <w:spacing w:after="0"/>
              <w:rPr>
                <w:sz w:val="5"/>
                <w:szCs w:val="5"/>
                <w:color w:val="auto"/>
              </w:rPr>
            </w:pPr>
          </w:p>
        </w:tc>
        <w:tc>
          <w:tcPr>
            <w:tcW w:w="700" w:type="dxa"/>
            <w:vAlign w:val="bottom"/>
            <w:tcBorders>
              <w:bottom w:val="single" w:sz="8" w:color="DBDBDB"/>
            </w:tcBorders>
          </w:tcPr>
          <w:p>
            <w:pPr>
              <w:spacing w:after="0"/>
              <w:rPr>
                <w:sz w:val="5"/>
                <w:szCs w:val="5"/>
                <w:color w:val="auto"/>
              </w:rPr>
            </w:pPr>
          </w:p>
        </w:tc>
        <w:tc>
          <w:tcPr>
            <w:tcW w:w="300" w:type="dxa"/>
            <w:vAlign w:val="bottom"/>
            <w:tcBorders>
              <w:bottom w:val="single" w:sz="8" w:color="DBDBDB"/>
            </w:tcBorders>
            <w:gridSpan w:val="2"/>
          </w:tcPr>
          <w:p>
            <w:pPr>
              <w:spacing w:after="0"/>
              <w:rPr>
                <w:sz w:val="5"/>
                <w:szCs w:val="5"/>
                <w:color w:val="auto"/>
              </w:rPr>
            </w:pPr>
          </w:p>
        </w:tc>
        <w:tc>
          <w:tcPr>
            <w:tcW w:w="660" w:type="dxa"/>
            <w:vAlign w:val="bottom"/>
            <w:tcBorders>
              <w:bottom w:val="single" w:sz="8" w:color="DBDBDB"/>
            </w:tcBorders>
          </w:tcPr>
          <w:p>
            <w:pPr>
              <w:spacing w:after="0"/>
              <w:rPr>
                <w:sz w:val="5"/>
                <w:szCs w:val="5"/>
                <w:color w:val="auto"/>
              </w:rPr>
            </w:pPr>
          </w:p>
        </w:tc>
        <w:tc>
          <w:tcPr>
            <w:tcW w:w="280" w:type="dxa"/>
            <w:vAlign w:val="bottom"/>
            <w:tcBorders>
              <w:bottom w:val="single" w:sz="8" w:color="DBDBDB"/>
            </w:tcBorders>
            <w:gridSpan w:val="2"/>
          </w:tcPr>
          <w:p>
            <w:pPr>
              <w:spacing w:after="0"/>
              <w:rPr>
                <w:sz w:val="5"/>
                <w:szCs w:val="5"/>
                <w:color w:val="auto"/>
              </w:rPr>
            </w:pPr>
          </w:p>
        </w:tc>
        <w:tc>
          <w:tcPr>
            <w:tcW w:w="660" w:type="dxa"/>
            <w:vAlign w:val="bottom"/>
            <w:tcBorders>
              <w:bottom w:val="single" w:sz="8" w:color="DBDBDB"/>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Net payments for Merger-related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666666"/>
              </w:rPr>
              <w:t>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198</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258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666666"/>
              </w:rPr>
              <w:t>532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6"/>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284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-6394450</wp:posOffset>
            </wp:positionV>
            <wp:extent cx="7140575" cy="3860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565"/>
        </w:trPr>
        <w:tc>
          <w:tcPr>
            <w:tcW w:w="3120" w:type="dxa"/>
            <w:vAlign w:val="bottom"/>
            <w:shd w:val="clear" w:color="auto" w:fill="000000"/>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jc w:val="right"/>
              <w:ind w:right="162"/>
              <w:spacing w:after="0"/>
              <w:rPr>
                <w:sz w:val="20"/>
                <w:szCs w:val="20"/>
                <w:color w:val="auto"/>
              </w:rPr>
            </w:pPr>
            <w:r>
              <w:rPr>
                <w:rFonts w:ascii="Arial" w:cs="Arial" w:eastAsia="Arial" w:hAnsi="Arial"/>
                <w:sz w:val="32"/>
                <w:szCs w:val="32"/>
                <w:b w:val="1"/>
                <w:bCs w:val="1"/>
                <w:color w:val="E20074"/>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120" w:type="dxa"/>
            <w:vAlign w:val="bottom"/>
            <w:shd w:val="clear" w:color="auto" w:fill="000000"/>
          </w:tcPr>
          <w:p>
            <w:pPr>
              <w:spacing w:after="0"/>
              <w:rPr>
                <w:sz w:val="9"/>
                <w:szCs w:val="9"/>
                <w:color w:val="auto"/>
              </w:rPr>
            </w:pPr>
          </w:p>
        </w:tc>
        <w:tc>
          <w:tcPr>
            <w:tcW w:w="34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760" w:type="dxa"/>
            <w:vAlign w:val="bottom"/>
            <w:gridSpan w:val="2"/>
            <w:shd w:val="clear" w:color="auto" w:fill="000000"/>
          </w:tcPr>
          <w:p>
            <w:pPr>
              <w:spacing w:after="0"/>
              <w:rPr>
                <w:sz w:val="9"/>
                <w:szCs w:val="9"/>
                <w:color w:val="auto"/>
              </w:rPr>
            </w:pPr>
          </w:p>
        </w:tc>
        <w:tc>
          <w:tcPr>
            <w:tcW w:w="880" w:type="dxa"/>
            <w:vAlign w:val="bottom"/>
            <w:gridSpan w:val="3"/>
            <w:shd w:val="clear" w:color="auto" w:fill="000000"/>
          </w:tcPr>
          <w:p>
            <w:pPr>
              <w:spacing w:after="0"/>
              <w:rPr>
                <w:sz w:val="9"/>
                <w:szCs w:val="9"/>
                <w:color w:val="auto"/>
              </w:rPr>
            </w:pPr>
          </w:p>
        </w:tc>
        <w:tc>
          <w:tcPr>
            <w:tcW w:w="780" w:type="dxa"/>
            <w:vAlign w:val="bottom"/>
            <w:gridSpan w:val="2"/>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64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7"/>
          </w:tcPr>
          <w:p>
            <w:pPr>
              <w:jc w:val="center"/>
              <w:spacing w:after="0"/>
              <w:rPr>
                <w:sz w:val="20"/>
                <w:szCs w:val="20"/>
                <w:color w:val="auto"/>
              </w:rPr>
            </w:pPr>
            <w:r>
              <w:rPr>
                <w:rFonts w:ascii="Arial" w:cs="Arial" w:eastAsia="Arial" w:hAnsi="Arial"/>
                <w:sz w:val="18"/>
                <w:szCs w:val="18"/>
                <w:b w:val="1"/>
                <w:bCs w:val="1"/>
                <w:color w:val="666666"/>
                <w:w w:val="99"/>
              </w:rPr>
              <w:t>T-Mobile US,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5480" w:type="dxa"/>
            <w:vAlign w:val="bottom"/>
            <w:gridSpan w:val="18"/>
          </w:tcPr>
          <w:p>
            <w:pPr>
              <w:jc w:val="center"/>
              <w:ind w:right="391"/>
              <w:spacing w:after="0"/>
              <w:rPr>
                <w:sz w:val="20"/>
                <w:szCs w:val="20"/>
                <w:color w:val="auto"/>
              </w:rPr>
            </w:pPr>
            <w:r>
              <w:rPr>
                <w:rFonts w:ascii="Arial" w:cs="Arial" w:eastAsia="Arial" w:hAnsi="Arial"/>
                <w:sz w:val="18"/>
                <w:szCs w:val="18"/>
                <w:b w:val="1"/>
                <w:bCs w:val="1"/>
                <w:color w:val="666666"/>
                <w:w w:val="99"/>
              </w:rPr>
              <w:t>Supplementary Operating and Financial Data (Continued)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666666"/>
                <w:w w:val="99"/>
              </w:rPr>
              <w:t>(Unaudited)</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7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6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6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6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60" w:type="dxa"/>
            <w:vAlign w:val="bottom"/>
            <w:vMerge w:val="restart"/>
            <w:shd w:val="clear" w:color="auto" w:fill="E20074"/>
          </w:tcPr>
          <w:p>
            <w:pPr>
              <w:jc w:val="right"/>
              <w:ind w:right="7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4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6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66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540" w:type="dxa"/>
            <w:vAlign w:val="bottom"/>
            <w:gridSpan w:val="4"/>
            <w:shd w:val="clear" w:color="auto" w:fill="E20074"/>
          </w:tcPr>
          <w:p>
            <w:pPr>
              <w:jc w:val="right"/>
              <w:ind w:right="122"/>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6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4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6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66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40" w:type="dxa"/>
            <w:vAlign w:val="bottom"/>
            <w:gridSpan w:val="4"/>
            <w:shd w:val="clear" w:color="auto" w:fill="E20074"/>
          </w:tcPr>
          <w:p>
            <w:pPr>
              <w:jc w:val="right"/>
              <w:ind w:right="302"/>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 except share and per share amounts)</w:t>
            </w:r>
          </w:p>
        </w:tc>
        <w:tc>
          <w:tcPr>
            <w:tcW w:w="34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51"/>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0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49"/>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0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51"/>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0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70"/>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tcBorders>
            <w:shd w:val="clear" w:color="auto" w:fill="E20074"/>
          </w:tcPr>
          <w:p>
            <w:pPr>
              <w:jc w:val="right"/>
              <w:ind w:right="51"/>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2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51"/>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2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51"/>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2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17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10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162"/>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666666"/>
              </w:rPr>
              <w:t>Stockholder returns</w:t>
            </w:r>
          </w:p>
        </w:tc>
        <w:tc>
          <w:tcPr>
            <w:tcW w:w="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Total repurchases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666666"/>
              </w:rPr>
              <w:t>2,460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4,901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2,156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7,409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9,472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Total shares repurchased</w:t>
            </w:r>
          </w:p>
        </w:tc>
        <w:tc>
          <w:tcPr>
            <w:tcW w:w="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10,091,227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10,148,791</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10,204,072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11,919,136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23,329,925</w:t>
            </w: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11,420,845</w:t>
            </w: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13,621,695</w:t>
            </w: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30,444,090</w:t>
            </w: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rPr>
              <w:t>48,372,465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Average purchase price per share</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244.77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243.32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242.01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666666"/>
              </w:rPr>
              <w:t>206.38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210.07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188.76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177.31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243.36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195.81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Total dividends paid</w:t>
            </w:r>
          </w:p>
        </w:tc>
        <w:tc>
          <w:tcPr>
            <w:tcW w:w="4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1,003</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996</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987</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
              <w:spacing w:after="0"/>
              <w:rPr>
                <w:sz w:val="20"/>
                <w:szCs w:val="20"/>
                <w:color w:val="auto"/>
              </w:rPr>
            </w:pPr>
            <w:r>
              <w:rPr>
                <w:rFonts w:ascii="Times New Roman" w:cs="Times New Roman" w:eastAsia="Times New Roman" w:hAnsi="Times New Roman"/>
                <w:sz w:val="14"/>
                <w:szCs w:val="14"/>
                <w:color w:val="666666"/>
              </w:rPr>
              <w:t>1,135</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1,120</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1,101</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1,089</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2,986</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Dividends per share</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0.88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0.88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0.88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666666"/>
              </w:rPr>
              <w:t>1.02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Total stockholder returns</w:t>
            </w:r>
          </w:p>
        </w:tc>
        <w:tc>
          <w:tcPr>
            <w:tcW w:w="4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3,473</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3,465</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3,457</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10"/>
              <w:spacing w:after="0"/>
              <w:rPr>
                <w:sz w:val="20"/>
                <w:szCs w:val="20"/>
                <w:color w:val="auto"/>
              </w:rPr>
            </w:pPr>
            <w:r>
              <w:rPr>
                <w:rFonts w:ascii="Times New Roman" w:cs="Times New Roman" w:eastAsia="Times New Roman" w:hAnsi="Times New Roman"/>
                <w:sz w:val="14"/>
                <w:szCs w:val="14"/>
                <w:color w:val="666666"/>
              </w:rPr>
              <w:t>3,595</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6,021</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3,257</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3,504</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10,395</w:t>
            </w:r>
          </w:p>
        </w:tc>
        <w:tc>
          <w:tcPr>
            <w:tcW w:w="2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12,782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Cumulative total repurchases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29,785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32,254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34,724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666666"/>
              </w:rPr>
              <w:t>37,184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42,085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44,241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46,656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34,724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46,656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Cumulative shares repurchased</w:t>
            </w:r>
          </w:p>
        </w:tc>
        <w:tc>
          <w:tcPr>
            <w:tcW w:w="34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183,754,602</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193,903,393</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204,107,465</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216,026,601</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239,356,526</w:t>
            </w: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9"/>
              </w:rPr>
              <w:t>250,777,371</w:t>
            </w: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264,399,066</w:t>
            </w: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204,107,465</w:t>
            </w: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666666"/>
                <w:w w:val="96"/>
              </w:rPr>
              <w:t>264,399,066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Cumulative stockholder returns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34,835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38,300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41,757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666666"/>
              </w:rPr>
              <w:t>45,352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51,373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54,630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58,134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41,757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58,134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3"/>
        </w:trPr>
        <w:tc>
          <w:tcPr>
            <w:tcW w:w="3120" w:type="dxa"/>
            <w:vAlign w:val="bottom"/>
            <w:shd w:val="clear" w:color="auto" w:fill="000000"/>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64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6583680" cy="3689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58368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-2374265</wp:posOffset>
            </wp:positionV>
            <wp:extent cx="7140575" cy="3860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0575" cy="3860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-462280</wp:posOffset>
            </wp:positionV>
            <wp:extent cx="6909435" cy="394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09435" cy="39433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33" w:name="page34"/>
    <w:bookmarkEnd w:id="33"/>
    <w:p>
      <w:pPr>
        <w:jc w:val="center"/>
        <w:ind w:left="1040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28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66666"/>
        </w:rPr>
        <w:t>T-Mobile 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66666"/>
        </w:rPr>
        <w:t>Reconciliation of Non-GAAP Financial Measures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66666"/>
        </w:rPr>
        <w:t>(Unaudited)</w:t>
      </w:r>
    </w:p>
    <w:p>
      <w:pPr>
        <w:spacing w:after="0" w:line="23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666666"/>
        </w:rPr>
        <w:t>This Investor Factbook includes non-GAAP financial measures, including Adjusted EBITDA, Core Adjusted EBITDA, Net Debt, Adjusted Free Cash Flow and Adjusted Free Cash Flow margin. The non-GAAP financial measures should be considered in addition to, but not as a substitute for, the information provided in accordance with GAAP. Reconciliations for the non-GAAP financial measures to the most directly comparable GAAP financial measures are provided below. T-Mobile is not able to forecast Net income on a forward-looking basis without unreasonable efforts due to the high variability and difficulty in predicting certain items that affect GAAP Net income, including, but not limited to, Special Items, Income tax expense and Interest expense. Adjusted EBITDA and Core Adjusted EBITDA should not be used to predict Net income, as the difference between either of these measures and Net income is variable.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66666"/>
        </w:rPr>
        <w:t>Adjusted EBITDA and Core Adjusted EBITDA are reconciled to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23430" cy="523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23430" cy="523240"/>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98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6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8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8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80" w:type="dxa"/>
            <w:vAlign w:val="bottom"/>
            <w:vMerge w:val="restart"/>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00" w:type="dxa"/>
            <w:vAlign w:val="bottom"/>
            <w:shd w:val="clear" w:color="auto" w:fill="E20074"/>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68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70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shd w:val="clear" w:color="auto" w:fill="E20074"/>
          </w:tcPr>
          <w:p>
            <w:pPr>
              <w:spacing w:after="0"/>
              <w:rPr>
                <w:sz w:val="14"/>
                <w:szCs w:val="14"/>
                <w:color w:val="auto"/>
              </w:rPr>
            </w:pPr>
          </w:p>
        </w:tc>
        <w:tc>
          <w:tcPr>
            <w:tcW w:w="1620" w:type="dxa"/>
            <w:vAlign w:val="bottom"/>
            <w:gridSpan w:val="4"/>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8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8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80" w:type="dxa"/>
            <w:vAlign w:val="bottom"/>
            <w:vMerge w:val="continue"/>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68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E20074"/>
          </w:tcPr>
          <w:p>
            <w:pPr>
              <w:spacing w:after="0"/>
              <w:rPr>
                <w:sz w:val="17"/>
                <w:szCs w:val="17"/>
                <w:color w:val="auto"/>
              </w:rPr>
            </w:pPr>
          </w:p>
        </w:tc>
        <w:tc>
          <w:tcPr>
            <w:tcW w:w="1620" w:type="dxa"/>
            <w:vAlign w:val="bottom"/>
            <w:gridSpan w:val="4"/>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 except percentages)</w:t>
            </w:r>
          </w:p>
        </w:tc>
        <w:tc>
          <w:tcPr>
            <w:tcW w:w="12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2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2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2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00" w:type="dxa"/>
            <w:vAlign w:val="bottom"/>
          </w:tcPr>
          <w:p>
            <w:pPr>
              <w:spacing w:after="0"/>
              <w:rPr>
                <w:sz w:val="18"/>
                <w:szCs w:val="18"/>
                <w:color w:val="auto"/>
              </w:rPr>
            </w:pPr>
          </w:p>
        </w:tc>
        <w:tc>
          <w:tcPr>
            <w:tcW w:w="12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20" w:type="dxa"/>
            <w:vAlign w:val="bottom"/>
          </w:tcPr>
          <w:p>
            <w:pPr>
              <w:spacing w:after="0"/>
              <w:rPr>
                <w:sz w:val="18"/>
                <w:szCs w:val="18"/>
                <w:color w:val="auto"/>
              </w:rPr>
            </w:pPr>
          </w:p>
        </w:tc>
        <w:tc>
          <w:tcPr>
            <w:tcW w:w="16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18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Net income</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w w:val="85"/>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2,953</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3,222</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2,714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2,103</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2,504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700" w:type="dxa"/>
            <w:vAlign w:val="bottom"/>
            <w:tcBorders>
              <w:bottom w:val="single" w:sz="8" w:color="DBDBDB"/>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16161"/>
              </w:rPr>
              <w:t>3,239</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16161"/>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3,455</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16161"/>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8,889</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616161"/>
              </w:rPr>
              <w:t>$</w:t>
            </w: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9,198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616161"/>
              </w:rPr>
              <w:t>Adjustments: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Interest expense, net</w:t>
            </w: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916</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922</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924</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1,012</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1,031</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16161"/>
              </w:rPr>
              <w:t>1,055</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1,031</w:t>
            </w:r>
          </w:p>
        </w:tc>
        <w:tc>
          <w:tcPr>
            <w:tcW w:w="12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2,762</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16161"/>
              </w:rPr>
              <w:t>3,117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Other expense, net</w:t>
            </w: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107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329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Income tax expense</w:t>
            </w: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885</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1,058</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814</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532</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830</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1,089</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1,085</w:t>
            </w:r>
          </w:p>
        </w:tc>
        <w:tc>
          <w:tcPr>
            <w:tcW w:w="12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2,757</w:t>
            </w: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Operating income</w:t>
            </w:r>
          </w:p>
        </w:tc>
        <w:tc>
          <w:tcPr>
            <w:tcW w:w="120" w:type="dxa"/>
            <w:vAlign w:val="bottom"/>
            <w:tcBorders>
              <w:top w:val="single" w:sz="8" w:color="929292"/>
            </w:tcBorders>
          </w:tcPr>
          <w:p>
            <w:pPr>
              <w:spacing w:after="0"/>
              <w:rPr>
                <w:sz w:val="16"/>
                <w:szCs w:val="16"/>
                <w:color w:val="auto"/>
              </w:rPr>
            </w:pPr>
          </w:p>
        </w:tc>
        <w:tc>
          <w:tcPr>
            <w:tcW w:w="66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4,800</w:t>
            </w:r>
          </w:p>
        </w:tc>
        <w:tc>
          <w:tcPr>
            <w:tcW w:w="120" w:type="dxa"/>
            <w:vAlign w:val="bottom"/>
          </w:tcPr>
          <w:p>
            <w:pPr>
              <w:spacing w:after="0"/>
              <w:rPr>
                <w:sz w:val="16"/>
                <w:szCs w:val="16"/>
                <w:color w:val="auto"/>
              </w:rPr>
            </w:pPr>
          </w:p>
        </w:tc>
        <w:tc>
          <w:tcPr>
            <w:tcW w:w="120" w:type="dxa"/>
            <w:vAlign w:val="bottom"/>
            <w:tcBorders>
              <w:top w:val="single" w:sz="8" w:color="929292"/>
            </w:tcBorders>
          </w:tcPr>
          <w:p>
            <w:pPr>
              <w:spacing w:after="0"/>
              <w:rPr>
                <w:sz w:val="16"/>
                <w:szCs w:val="16"/>
                <w:color w:val="auto"/>
              </w:rPr>
            </w:pPr>
          </w:p>
        </w:tc>
        <w:tc>
          <w:tcPr>
            <w:tcW w:w="68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5,213</w:t>
            </w:r>
          </w:p>
        </w:tc>
        <w:tc>
          <w:tcPr>
            <w:tcW w:w="120" w:type="dxa"/>
            <w:vAlign w:val="bottom"/>
          </w:tcPr>
          <w:p>
            <w:pPr>
              <w:spacing w:after="0"/>
              <w:rPr>
                <w:sz w:val="16"/>
                <w:szCs w:val="16"/>
                <w:color w:val="auto"/>
              </w:rPr>
            </w:pPr>
          </w:p>
        </w:tc>
        <w:tc>
          <w:tcPr>
            <w:tcW w:w="120" w:type="dxa"/>
            <w:vAlign w:val="bottom"/>
            <w:tcBorders>
              <w:top w:val="single" w:sz="8" w:color="929292"/>
            </w:tcBorders>
          </w:tcPr>
          <w:p>
            <w:pPr>
              <w:spacing w:after="0"/>
              <w:rPr>
                <w:sz w:val="16"/>
                <w:szCs w:val="16"/>
                <w:color w:val="auto"/>
              </w:rPr>
            </w:pPr>
          </w:p>
        </w:tc>
        <w:tc>
          <w:tcPr>
            <w:tcW w:w="68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4,530</w:t>
            </w:r>
          </w:p>
        </w:tc>
        <w:tc>
          <w:tcPr>
            <w:tcW w:w="120" w:type="dxa"/>
            <w:vAlign w:val="bottom"/>
          </w:tcPr>
          <w:p>
            <w:pPr>
              <w:spacing w:after="0"/>
              <w:rPr>
                <w:sz w:val="16"/>
                <w:szCs w:val="16"/>
                <w:color w:val="auto"/>
              </w:rPr>
            </w:pPr>
          </w:p>
        </w:tc>
        <w:tc>
          <w:tcPr>
            <w:tcW w:w="120" w:type="dxa"/>
            <w:vAlign w:val="bottom"/>
            <w:tcBorders>
              <w:top w:val="single" w:sz="8" w:color="929292"/>
            </w:tcBorders>
          </w:tcPr>
          <w:p>
            <w:pPr>
              <w:spacing w:after="0"/>
              <w:rPr>
                <w:sz w:val="16"/>
                <w:szCs w:val="16"/>
                <w:color w:val="auto"/>
              </w:rPr>
            </w:pPr>
          </w:p>
        </w:tc>
        <w:tc>
          <w:tcPr>
            <w:tcW w:w="68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3,736</w:t>
            </w:r>
          </w:p>
        </w:tc>
        <w:tc>
          <w:tcPr>
            <w:tcW w:w="100" w:type="dxa"/>
            <w:vAlign w:val="bottom"/>
          </w:tcPr>
          <w:p>
            <w:pPr>
              <w:spacing w:after="0"/>
              <w:rPr>
                <w:sz w:val="16"/>
                <w:szCs w:val="16"/>
                <w:color w:val="auto"/>
              </w:rPr>
            </w:pPr>
          </w:p>
        </w:tc>
        <w:tc>
          <w:tcPr>
            <w:tcW w:w="140" w:type="dxa"/>
            <w:vAlign w:val="bottom"/>
            <w:tcBorders>
              <w:top w:val="single" w:sz="8" w:color="929292"/>
            </w:tcBorders>
          </w:tcPr>
          <w:p>
            <w:pPr>
              <w:spacing w:after="0"/>
              <w:rPr>
                <w:sz w:val="16"/>
                <w:szCs w:val="16"/>
                <w:color w:val="auto"/>
              </w:rPr>
            </w:pPr>
          </w:p>
        </w:tc>
        <w:tc>
          <w:tcPr>
            <w:tcW w:w="68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4,497</w:t>
            </w:r>
          </w:p>
        </w:tc>
        <w:tc>
          <w:tcPr>
            <w:tcW w:w="100" w:type="dxa"/>
            <w:vAlign w:val="bottom"/>
          </w:tcPr>
          <w:p>
            <w:pPr>
              <w:spacing w:after="0"/>
              <w:rPr>
                <w:sz w:val="16"/>
                <w:szCs w:val="16"/>
                <w:color w:val="auto"/>
              </w:rPr>
            </w:pPr>
          </w:p>
        </w:tc>
        <w:tc>
          <w:tcPr>
            <w:tcW w:w="140" w:type="dxa"/>
            <w:vAlign w:val="bottom"/>
            <w:tcBorders>
              <w:top w:val="single" w:sz="8" w:color="929292"/>
            </w:tcBorders>
          </w:tcPr>
          <w:p>
            <w:pPr>
              <w:spacing w:after="0"/>
              <w:rPr>
                <w:sz w:val="16"/>
                <w:szCs w:val="16"/>
                <w:color w:val="auto"/>
              </w:rPr>
            </w:pPr>
          </w:p>
        </w:tc>
        <w:tc>
          <w:tcPr>
            <w:tcW w:w="700" w:type="dxa"/>
            <w:vAlign w:val="bottom"/>
            <w:tcBorders>
              <w:top w:val="single" w:sz="8" w:color="929292"/>
            </w:tcBorders>
          </w:tcPr>
          <w:p>
            <w:pPr>
              <w:jc w:val="right"/>
              <w:ind w:right="128"/>
              <w:spacing w:after="0"/>
              <w:rPr>
                <w:sz w:val="20"/>
                <w:szCs w:val="20"/>
                <w:color w:val="auto"/>
              </w:rPr>
            </w:pPr>
            <w:r>
              <w:rPr>
                <w:rFonts w:ascii="Times New Roman" w:cs="Times New Roman" w:eastAsia="Times New Roman" w:hAnsi="Times New Roman"/>
                <w:sz w:val="14"/>
                <w:szCs w:val="14"/>
                <w:color w:val="666666"/>
              </w:rPr>
              <w:t>5,490</w:t>
            </w:r>
          </w:p>
        </w:tc>
        <w:tc>
          <w:tcPr>
            <w:tcW w:w="100" w:type="dxa"/>
            <w:vAlign w:val="bottom"/>
          </w:tcPr>
          <w:p>
            <w:pPr>
              <w:spacing w:after="0"/>
              <w:rPr>
                <w:sz w:val="16"/>
                <w:szCs w:val="16"/>
                <w:color w:val="auto"/>
              </w:rPr>
            </w:pPr>
          </w:p>
        </w:tc>
        <w:tc>
          <w:tcPr>
            <w:tcW w:w="120" w:type="dxa"/>
            <w:vAlign w:val="bottom"/>
            <w:tcBorders>
              <w:top w:val="single" w:sz="8" w:color="929292"/>
            </w:tcBorders>
          </w:tcPr>
          <w:p>
            <w:pPr>
              <w:spacing w:after="0"/>
              <w:rPr>
                <w:sz w:val="16"/>
                <w:szCs w:val="16"/>
                <w:color w:val="auto"/>
              </w:rPr>
            </w:pPr>
          </w:p>
        </w:tc>
        <w:tc>
          <w:tcPr>
            <w:tcW w:w="70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5,661</w:t>
            </w:r>
          </w:p>
        </w:tc>
        <w:tc>
          <w:tcPr>
            <w:tcW w:w="120" w:type="dxa"/>
            <w:vAlign w:val="bottom"/>
          </w:tcPr>
          <w:p>
            <w:pPr>
              <w:spacing w:after="0"/>
              <w:rPr>
                <w:sz w:val="16"/>
                <w:szCs w:val="16"/>
                <w:color w:val="auto"/>
              </w:rPr>
            </w:pPr>
          </w:p>
        </w:tc>
        <w:tc>
          <w:tcPr>
            <w:tcW w:w="160" w:type="dxa"/>
            <w:vAlign w:val="bottom"/>
            <w:tcBorders>
              <w:top w:val="single" w:sz="8" w:color="929292"/>
            </w:tcBorders>
          </w:tcPr>
          <w:p>
            <w:pPr>
              <w:spacing w:after="0"/>
              <w:rPr>
                <w:sz w:val="16"/>
                <w:szCs w:val="16"/>
                <w:color w:val="auto"/>
              </w:rPr>
            </w:pPr>
          </w:p>
        </w:tc>
        <w:tc>
          <w:tcPr>
            <w:tcW w:w="66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14,543</w:t>
            </w:r>
          </w:p>
        </w:tc>
        <w:tc>
          <w:tcPr>
            <w:tcW w:w="120" w:type="dxa"/>
            <w:vAlign w:val="bottom"/>
          </w:tcPr>
          <w:p>
            <w:pPr>
              <w:spacing w:after="0"/>
              <w:rPr>
                <w:sz w:val="16"/>
                <w:szCs w:val="16"/>
                <w:color w:val="auto"/>
              </w:rPr>
            </w:pPr>
          </w:p>
        </w:tc>
        <w:tc>
          <w:tcPr>
            <w:tcW w:w="180" w:type="dxa"/>
            <w:vAlign w:val="bottom"/>
            <w:tcBorders>
              <w:top w:val="single" w:sz="8" w:color="929292"/>
            </w:tcBorders>
          </w:tcPr>
          <w:p>
            <w:pPr>
              <w:spacing w:after="0"/>
              <w:rPr>
                <w:sz w:val="16"/>
                <w:szCs w:val="16"/>
                <w:color w:val="auto"/>
              </w:rPr>
            </w:pPr>
          </w:p>
        </w:tc>
        <w:tc>
          <w:tcPr>
            <w:tcW w:w="660" w:type="dxa"/>
            <w:vAlign w:val="bottom"/>
            <w:tcBorders>
              <w:top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15,648</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Depreciation and amortization</w:t>
            </w: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3,198</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3,146</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3,408</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3,756</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3,817</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3,434</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3,452</w:t>
            </w:r>
          </w:p>
        </w:tc>
        <w:tc>
          <w:tcPr>
            <w:tcW w:w="12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9,752</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 xml:space="preserve">Stock-based compensation </w:t>
            </w:r>
            <w:r>
              <w:rPr>
                <w:rFonts w:ascii="Times New Roman" w:cs="Times New Roman" w:eastAsia="Times New Roman" w:hAnsi="Times New Roman"/>
                <w:sz w:val="18"/>
                <w:szCs w:val="18"/>
                <w:color w:val="666666"/>
                <w:vertAlign w:val="superscript"/>
              </w:rPr>
              <w:t>(1)</w:t>
            </w:r>
          </w:p>
        </w:tc>
        <w:tc>
          <w:tcPr>
            <w:tcW w:w="12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563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UScellular merger-related costs</w:t>
            </w: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14</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33</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73</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143</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406</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182</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129</w:t>
            </w:r>
          </w:p>
        </w:tc>
        <w:tc>
          <w:tcPr>
            <w:tcW w:w="12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120</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 xml:space="preserve">Network restructuring initiative costs </w:t>
            </w:r>
            <w:r>
              <w:rPr>
                <w:rFonts w:ascii="Times New Roman" w:cs="Times New Roman" w:eastAsia="Times New Roman" w:hAnsi="Times New Roman"/>
                <w:sz w:val="18"/>
                <w:szCs w:val="18"/>
                <w:color w:val="666666"/>
                <w:vertAlign w:val="superscript"/>
              </w:rPr>
              <w:t>(2)</w:t>
            </w:r>
          </w:p>
        </w:tc>
        <w:tc>
          <w:tcPr>
            <w:tcW w:w="12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 xml:space="preserve">Legal-related expenses (recoveries), net </w:t>
            </w:r>
            <w:r>
              <w:rPr>
                <w:rFonts w:ascii="Times New Roman" w:cs="Times New Roman" w:eastAsia="Times New Roman" w:hAnsi="Times New Roman"/>
                <w:sz w:val="18"/>
                <w:szCs w:val="18"/>
                <w:color w:val="666666"/>
                <w:vertAlign w:val="superscript"/>
              </w:rPr>
              <w:t>(3)</w:t>
            </w: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(4)</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16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14</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66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10</w:t>
            </w: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666666"/>
              </w:rPr>
              <w:t>Impairment expense</w:t>
            </w: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 xml:space="preserve">Other, net </w:t>
            </w:r>
            <w:r>
              <w:rPr>
                <w:rFonts w:ascii="Times New Roman" w:cs="Times New Roman" w:eastAsia="Times New Roman" w:hAnsi="Times New Roman"/>
                <w:sz w:val="18"/>
                <w:szCs w:val="18"/>
                <w:color w:val="666666"/>
                <w:vertAlign w:val="superscript"/>
              </w:rPr>
              <w:t>(4)</w:t>
            </w:r>
          </w:p>
        </w:tc>
        <w:tc>
          <w:tcPr>
            <w:tcW w:w="120" w:type="dxa"/>
            <w:vAlign w:val="bottom"/>
            <w:tcBorders>
              <w:bottom w:val="single" w:sz="8" w:color="929292"/>
            </w:tcBorders>
            <w:shd w:val="clear" w:color="auto" w:fill="DBDBDB"/>
          </w:tcPr>
          <w:p>
            <w:pPr>
              <w:spacing w:after="0"/>
              <w:rPr>
                <w:sz w:val="18"/>
                <w:szCs w:val="18"/>
                <w:color w:val="auto"/>
              </w:rPr>
            </w:pPr>
          </w:p>
        </w:tc>
        <w:tc>
          <w:tcPr>
            <w:tcW w:w="66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73</w:t>
            </w:r>
          </w:p>
        </w:tc>
        <w:tc>
          <w:tcPr>
            <w:tcW w:w="120" w:type="dxa"/>
            <w:vAlign w:val="bottom"/>
            <w:shd w:val="clear" w:color="auto" w:fill="DBDBDB"/>
          </w:tcPr>
          <w:p>
            <w:pPr>
              <w:spacing w:after="0"/>
              <w:rPr>
                <w:sz w:val="18"/>
                <w:szCs w:val="18"/>
                <w:color w:val="auto"/>
              </w:rPr>
            </w:pPr>
          </w:p>
        </w:tc>
        <w:tc>
          <w:tcPr>
            <w:tcW w:w="120" w:type="dxa"/>
            <w:vAlign w:val="bottom"/>
            <w:tcBorders>
              <w:bottom w:val="single" w:sz="8" w:color="929292"/>
            </w:tcBorders>
            <w:shd w:val="clear" w:color="auto" w:fill="DBDBDB"/>
          </w:tcPr>
          <w:p>
            <w:pPr>
              <w:spacing w:after="0"/>
              <w:rPr>
                <w:sz w:val="18"/>
                <w:szCs w:val="18"/>
                <w:color w:val="auto"/>
              </w:rPr>
            </w:pPr>
          </w:p>
        </w:tc>
        <w:tc>
          <w:tcPr>
            <w:tcW w:w="680" w:type="dxa"/>
            <w:vAlign w:val="bottom"/>
            <w:tcBorders>
              <w:bottom w:val="single" w:sz="8" w:color="929292"/>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(19)</w:t>
            </w:r>
          </w:p>
        </w:tc>
        <w:tc>
          <w:tcPr>
            <w:tcW w:w="120" w:type="dxa"/>
            <w:vAlign w:val="bottom"/>
            <w:shd w:val="clear" w:color="auto" w:fill="DBDBDB"/>
          </w:tcPr>
          <w:p>
            <w:pPr>
              <w:spacing w:after="0"/>
              <w:rPr>
                <w:sz w:val="18"/>
                <w:szCs w:val="18"/>
                <w:color w:val="auto"/>
              </w:rPr>
            </w:pPr>
          </w:p>
        </w:tc>
        <w:tc>
          <w:tcPr>
            <w:tcW w:w="120" w:type="dxa"/>
            <w:vAlign w:val="bottom"/>
            <w:tcBorders>
              <w:bottom w:val="single" w:sz="8" w:color="929292"/>
            </w:tcBorders>
            <w:shd w:val="clear" w:color="auto" w:fill="DBDBDB"/>
          </w:tcPr>
          <w:p>
            <w:pPr>
              <w:spacing w:after="0"/>
              <w:rPr>
                <w:sz w:val="18"/>
                <w:szCs w:val="18"/>
                <w:color w:val="auto"/>
              </w:rPr>
            </w:pPr>
          </w:p>
        </w:tc>
        <w:tc>
          <w:tcPr>
            <w:tcW w:w="68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170</w:t>
            </w:r>
          </w:p>
        </w:tc>
        <w:tc>
          <w:tcPr>
            <w:tcW w:w="120" w:type="dxa"/>
            <w:vAlign w:val="bottom"/>
            <w:shd w:val="clear" w:color="auto" w:fill="DBDBDB"/>
          </w:tcPr>
          <w:p>
            <w:pPr>
              <w:spacing w:after="0"/>
              <w:rPr>
                <w:sz w:val="18"/>
                <w:szCs w:val="18"/>
                <w:color w:val="auto"/>
              </w:rPr>
            </w:pPr>
          </w:p>
        </w:tc>
        <w:tc>
          <w:tcPr>
            <w:tcW w:w="120" w:type="dxa"/>
            <w:vAlign w:val="bottom"/>
            <w:tcBorders>
              <w:bottom w:val="single" w:sz="8" w:color="929292"/>
            </w:tcBorders>
            <w:shd w:val="clear" w:color="auto" w:fill="DBDBDB"/>
          </w:tcPr>
          <w:p>
            <w:pPr>
              <w:spacing w:after="0"/>
              <w:rPr>
                <w:sz w:val="18"/>
                <w:szCs w:val="18"/>
                <w:color w:val="auto"/>
              </w:rPr>
            </w:pPr>
          </w:p>
        </w:tc>
        <w:tc>
          <w:tcPr>
            <w:tcW w:w="68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504</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929292"/>
            </w:tcBorders>
            <w:shd w:val="clear" w:color="auto" w:fill="DBDBDB"/>
          </w:tcPr>
          <w:p>
            <w:pPr>
              <w:spacing w:after="0"/>
              <w:rPr>
                <w:sz w:val="18"/>
                <w:szCs w:val="18"/>
                <w:color w:val="auto"/>
              </w:rPr>
            </w:pPr>
          </w:p>
        </w:tc>
        <w:tc>
          <w:tcPr>
            <w:tcW w:w="68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188</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929292"/>
            </w:tcBorders>
            <w:shd w:val="clear" w:color="auto" w:fill="DBDBDB"/>
          </w:tcPr>
          <w:p>
            <w:pPr>
              <w:spacing w:after="0"/>
              <w:rPr>
                <w:sz w:val="18"/>
                <w:szCs w:val="18"/>
                <w:color w:val="auto"/>
              </w:rPr>
            </w:pPr>
          </w:p>
        </w:tc>
        <w:tc>
          <w:tcPr>
            <w:tcW w:w="700" w:type="dxa"/>
            <w:vAlign w:val="bottom"/>
            <w:tcBorders>
              <w:bottom w:val="single" w:sz="8" w:color="929292"/>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151</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929292"/>
            </w:tcBorders>
            <w:shd w:val="clear" w:color="auto" w:fill="DBDBDB"/>
          </w:tcPr>
          <w:p>
            <w:pPr>
              <w:spacing w:after="0"/>
              <w:rPr>
                <w:sz w:val="18"/>
                <w:szCs w:val="18"/>
                <w:color w:val="auto"/>
              </w:rPr>
            </w:pPr>
          </w:p>
        </w:tc>
        <w:tc>
          <w:tcPr>
            <w:tcW w:w="70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131</w:t>
            </w:r>
          </w:p>
        </w:tc>
        <w:tc>
          <w:tcPr>
            <w:tcW w:w="120" w:type="dxa"/>
            <w:vAlign w:val="bottom"/>
            <w:shd w:val="clear" w:color="auto" w:fill="DBDBDB"/>
          </w:tcPr>
          <w:p>
            <w:pPr>
              <w:spacing w:after="0"/>
              <w:rPr>
                <w:sz w:val="18"/>
                <w:szCs w:val="18"/>
                <w:color w:val="auto"/>
              </w:rPr>
            </w:pPr>
          </w:p>
        </w:tc>
        <w:tc>
          <w:tcPr>
            <w:tcW w:w="160" w:type="dxa"/>
            <w:vAlign w:val="bottom"/>
            <w:tcBorders>
              <w:bottom w:val="single" w:sz="8" w:color="929292"/>
            </w:tcBorders>
            <w:shd w:val="clear" w:color="auto" w:fill="DBDBDB"/>
          </w:tcPr>
          <w:p>
            <w:pPr>
              <w:spacing w:after="0"/>
              <w:rPr>
                <w:sz w:val="18"/>
                <w:szCs w:val="18"/>
                <w:color w:val="auto"/>
              </w:rPr>
            </w:pPr>
          </w:p>
        </w:tc>
        <w:tc>
          <w:tcPr>
            <w:tcW w:w="66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224</w:t>
            </w:r>
          </w:p>
        </w:tc>
        <w:tc>
          <w:tcPr>
            <w:tcW w:w="120" w:type="dxa"/>
            <w:vAlign w:val="bottom"/>
            <w:shd w:val="clear" w:color="auto" w:fill="DBDBDB"/>
          </w:tcPr>
          <w:p>
            <w:pPr>
              <w:spacing w:after="0"/>
              <w:rPr>
                <w:sz w:val="18"/>
                <w:szCs w:val="18"/>
                <w:color w:val="auto"/>
              </w:rPr>
            </w:pPr>
          </w:p>
        </w:tc>
        <w:tc>
          <w:tcPr>
            <w:tcW w:w="180" w:type="dxa"/>
            <w:vAlign w:val="bottom"/>
            <w:tcBorders>
              <w:bottom w:val="single" w:sz="8" w:color="929292"/>
            </w:tcBorders>
            <w:shd w:val="clear" w:color="auto" w:fill="DBDBDB"/>
          </w:tcPr>
          <w:p>
            <w:pPr>
              <w:spacing w:after="0"/>
              <w:rPr>
                <w:sz w:val="18"/>
                <w:szCs w:val="18"/>
                <w:color w:val="auto"/>
              </w:rPr>
            </w:pPr>
          </w:p>
        </w:tc>
        <w:tc>
          <w:tcPr>
            <w:tcW w:w="660" w:type="dxa"/>
            <w:vAlign w:val="bottom"/>
            <w:tcBorders>
              <w:bottom w:val="single" w:sz="8" w:color="929292"/>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470</w:t>
            </w:r>
          </w:p>
        </w:tc>
        <w:tc>
          <w:tcPr>
            <w:tcW w:w="20" w:type="dxa"/>
            <w:vAlign w:val="bottom"/>
            <w:tcBorders>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Adjusted EBITDA</w:t>
            </w: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8,259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8,547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8,684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8,447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9,241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9,537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9,620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25,490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28,398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Lease revenues</w:t>
            </w: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(1)</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(6)</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(4)</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(2)</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(1)</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66666"/>
              </w:rPr>
              <w:t>—</w:t>
            </w:r>
          </w:p>
        </w:tc>
        <w:tc>
          <w:tcPr>
            <w:tcW w:w="12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(11)</w:t>
            </w: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666666"/>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Borders>
              <w:bottom w:val="single" w:sz="8" w:color="DBDBDB"/>
            </w:tcBorders>
          </w:tcPr>
          <w:p>
            <w:pPr>
              <w:ind w:left="220"/>
              <w:spacing w:after="0"/>
              <w:rPr>
                <w:sz w:val="20"/>
                <w:szCs w:val="20"/>
                <w:color w:val="auto"/>
              </w:rPr>
            </w:pPr>
            <w:r>
              <w:rPr>
                <w:rFonts w:ascii="Times New Roman" w:cs="Times New Roman" w:eastAsia="Times New Roman" w:hAnsi="Times New Roman"/>
                <w:sz w:val="14"/>
                <w:szCs w:val="14"/>
                <w:color w:val="666666"/>
              </w:rPr>
              <w:t>Core Adjusted EBITDA</w:t>
            </w: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8,258</w:t>
            </w:r>
          </w:p>
        </w:tc>
        <w:tc>
          <w:tcPr>
            <w:tcW w:w="12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8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8,541</w:t>
            </w:r>
          </w:p>
        </w:tc>
        <w:tc>
          <w:tcPr>
            <w:tcW w:w="12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8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8,680</w:t>
            </w:r>
          </w:p>
        </w:tc>
        <w:tc>
          <w:tcPr>
            <w:tcW w:w="12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8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8,445</w:t>
            </w:r>
          </w:p>
        </w:tc>
        <w:tc>
          <w:tcPr>
            <w:tcW w:w="100" w:type="dxa"/>
            <w:vAlign w:val="bottom"/>
            <w:tcBorders>
              <w:bottom w:val="single" w:sz="8" w:color="DBDBDB"/>
            </w:tcBorders>
          </w:tcPr>
          <w:p>
            <w:pPr>
              <w:spacing w:after="0"/>
              <w:rPr>
                <w:sz w:val="18"/>
                <w:szCs w:val="18"/>
                <w:color w:val="auto"/>
              </w:rPr>
            </w:pPr>
          </w:p>
        </w:tc>
        <w:tc>
          <w:tcPr>
            <w:tcW w:w="1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8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9,240</w:t>
            </w:r>
          </w:p>
        </w:tc>
        <w:tc>
          <w:tcPr>
            <w:tcW w:w="100" w:type="dxa"/>
            <w:vAlign w:val="bottom"/>
            <w:tcBorders>
              <w:bottom w:val="single" w:sz="8" w:color="DBDBDB"/>
            </w:tcBorders>
          </w:tcPr>
          <w:p>
            <w:pPr>
              <w:spacing w:after="0"/>
              <w:rPr>
                <w:sz w:val="18"/>
                <w:szCs w:val="18"/>
                <w:color w:val="auto"/>
              </w:rPr>
            </w:pPr>
          </w:p>
        </w:tc>
        <w:tc>
          <w:tcPr>
            <w:tcW w:w="1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700" w:type="dxa"/>
            <w:vAlign w:val="bottom"/>
            <w:tcBorders>
              <w:top w:val="single" w:sz="8" w:color="929292"/>
              <w:bottom w:val="single" w:sz="8" w:color="929292"/>
            </w:tcBorders>
          </w:tcPr>
          <w:p>
            <w:pPr>
              <w:jc w:val="right"/>
              <w:ind w:right="128"/>
              <w:spacing w:after="0"/>
              <w:rPr>
                <w:sz w:val="20"/>
                <w:szCs w:val="20"/>
                <w:color w:val="auto"/>
              </w:rPr>
            </w:pPr>
            <w:r>
              <w:rPr>
                <w:rFonts w:ascii="Times New Roman" w:cs="Times New Roman" w:eastAsia="Times New Roman" w:hAnsi="Times New Roman"/>
                <w:sz w:val="14"/>
                <w:szCs w:val="14"/>
                <w:color w:val="666666"/>
              </w:rPr>
              <w:t>9,537</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70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9,620</w:t>
            </w:r>
          </w:p>
        </w:tc>
        <w:tc>
          <w:tcPr>
            <w:tcW w:w="120" w:type="dxa"/>
            <w:vAlign w:val="bottom"/>
            <w:tcBorders>
              <w:bottom w:val="single" w:sz="8" w:color="DBDBDB"/>
            </w:tcBorders>
          </w:tcPr>
          <w:p>
            <w:pPr>
              <w:spacing w:after="0"/>
              <w:rPr>
                <w:sz w:val="18"/>
                <w:szCs w:val="18"/>
                <w:color w:val="auto"/>
              </w:rPr>
            </w:pPr>
          </w:p>
        </w:tc>
        <w:tc>
          <w:tcPr>
            <w:tcW w:w="16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25,479</w:t>
            </w:r>
          </w:p>
        </w:tc>
        <w:tc>
          <w:tcPr>
            <w:tcW w:w="120" w:type="dxa"/>
            <w:vAlign w:val="bottom"/>
            <w:tcBorders>
              <w:bottom w:val="single" w:sz="8" w:color="DBDBDB"/>
            </w:tcBorders>
          </w:tcPr>
          <w:p>
            <w:pPr>
              <w:spacing w:after="0"/>
              <w:rPr>
                <w:sz w:val="18"/>
                <w:szCs w:val="18"/>
                <w:color w:val="auto"/>
              </w:rPr>
            </w:pPr>
          </w:p>
        </w:tc>
        <w:tc>
          <w:tcPr>
            <w:tcW w:w="180" w:type="dxa"/>
            <w:vAlign w:val="bottom"/>
            <w:tcBorders>
              <w:top w:val="single" w:sz="8" w:color="929292"/>
              <w:bottom w:val="single" w:sz="8" w:color="929292"/>
            </w:tcBorders>
          </w:tcPr>
          <w:p>
            <w:pPr>
              <w:jc w:val="right"/>
              <w:ind w:right="2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Borders>
              <w:top w:val="single" w:sz="8" w:color="929292"/>
              <w:bottom w:val="single" w:sz="8" w:color="929292"/>
            </w:tcBorders>
          </w:tcPr>
          <w:p>
            <w:pPr>
              <w:jc w:val="right"/>
              <w:ind w:right="108"/>
              <w:spacing w:after="0"/>
              <w:rPr>
                <w:sz w:val="20"/>
                <w:szCs w:val="20"/>
                <w:color w:val="auto"/>
              </w:rPr>
            </w:pPr>
            <w:r>
              <w:rPr>
                <w:rFonts w:ascii="Times New Roman" w:cs="Times New Roman" w:eastAsia="Times New Roman" w:hAnsi="Times New Roman"/>
                <w:sz w:val="14"/>
                <w:szCs w:val="14"/>
                <w:color w:val="666666"/>
              </w:rPr>
              <w:t>28,397</w:t>
            </w:r>
          </w:p>
        </w:tc>
        <w:tc>
          <w:tcPr>
            <w:tcW w:w="20" w:type="dxa"/>
            <w:vAlign w:val="bottom"/>
            <w:tcBorders>
              <w:top w:val="single" w:sz="8" w:color="929292"/>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DBDBDB"/>
          </w:tcPr>
          <w:p>
            <w:pPr>
              <w:ind w:left="220"/>
              <w:spacing w:after="0" w:line="139" w:lineRule="exact"/>
              <w:rPr>
                <w:sz w:val="20"/>
                <w:szCs w:val="20"/>
                <w:color w:val="auto"/>
              </w:rPr>
            </w:pPr>
            <w:r>
              <w:rPr>
                <w:rFonts w:ascii="Times New Roman" w:cs="Times New Roman" w:eastAsia="Times New Roman" w:hAnsi="Times New Roman"/>
                <w:sz w:val="14"/>
                <w:szCs w:val="14"/>
                <w:color w:val="666666"/>
              </w:rPr>
              <w:t>Net income margin (Net income divided by</w:t>
            </w:r>
          </w:p>
        </w:tc>
        <w:tc>
          <w:tcPr>
            <w:tcW w:w="12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17.4 %</w:t>
            </w: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18.5 %</w:t>
            </w: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14.9 %</w:t>
            </w: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11.2 %</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13.3 %</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17.1 %</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17.8 %</w:t>
            </w:r>
          </w:p>
        </w:tc>
        <w:tc>
          <w:tcPr>
            <w:tcW w:w="12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16.9 %</w:t>
            </w:r>
          </w:p>
        </w:tc>
        <w:tc>
          <w:tcPr>
            <w:tcW w:w="12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16.1 %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4"/>
                <w:szCs w:val="14"/>
                <w:color w:val="666666"/>
              </w:rPr>
              <w:t>Service revenues)</w:t>
            </w:r>
          </w:p>
        </w:tc>
        <w:tc>
          <w:tcPr>
            <w:tcW w:w="12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666666"/>
              </w:rPr>
              <w:t>Adjusted EBITDA margin (Adjusted EBITDA</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48.8 %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49.0 %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47.6 %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45.2 %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49.1 %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50.2 %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48.5 %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divided by Service revenues)</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80" w:type="dxa"/>
            <w:vAlign w:val="bottom"/>
            <w:shd w:val="clear" w:color="auto" w:fill="DBDBDB"/>
          </w:tcPr>
          <w:p>
            <w:pPr>
              <w:ind w:left="220"/>
              <w:spacing w:after="0" w:line="158" w:lineRule="exact"/>
              <w:rPr>
                <w:sz w:val="20"/>
                <w:szCs w:val="20"/>
                <w:color w:val="auto"/>
              </w:rPr>
            </w:pPr>
            <w:r>
              <w:rPr>
                <w:rFonts w:ascii="Times New Roman" w:cs="Times New Roman" w:eastAsia="Times New Roman" w:hAnsi="Times New Roman"/>
                <w:sz w:val="14"/>
                <w:szCs w:val="14"/>
                <w:color w:val="666666"/>
              </w:rPr>
              <w:t>Core Adjusted EBITDA margin (Core</w:t>
            </w:r>
          </w:p>
        </w:tc>
        <w:tc>
          <w:tcPr>
            <w:tcW w:w="12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DBDBDB"/>
          </w:tcPr>
          <w:p>
            <w:pPr>
              <w:ind w:left="220"/>
              <w:spacing w:after="0" w:line="145" w:lineRule="exact"/>
              <w:rPr>
                <w:sz w:val="20"/>
                <w:szCs w:val="20"/>
                <w:color w:val="auto"/>
              </w:rPr>
            </w:pPr>
            <w:r>
              <w:rPr>
                <w:rFonts w:ascii="Times New Roman" w:cs="Times New Roman" w:eastAsia="Times New Roman" w:hAnsi="Times New Roman"/>
                <w:sz w:val="14"/>
                <w:szCs w:val="14"/>
                <w:color w:val="666666"/>
              </w:rPr>
              <w:t>Adjusted EBITDA divided by Service</w:t>
            </w:r>
          </w:p>
        </w:tc>
        <w:tc>
          <w:tcPr>
            <w:tcW w:w="12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48.8 %</w:t>
            </w: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49.0 %</w:t>
            </w: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47.6 %</w:t>
            </w:r>
          </w:p>
        </w:tc>
        <w:tc>
          <w:tcPr>
            <w:tcW w:w="1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45.2 %</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49.1 %</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50.2 %</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12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48.4 %</w:t>
            </w:r>
          </w:p>
        </w:tc>
        <w:tc>
          <w:tcPr>
            <w:tcW w:w="12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49.7 %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4"/>
                <w:szCs w:val="14"/>
                <w:color w:val="666666"/>
              </w:rPr>
              <w:t>revenues)</w:t>
            </w:r>
          </w:p>
        </w:tc>
        <w:tc>
          <w:tcPr>
            <w:tcW w:w="12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vMerge w:val="continue"/>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-1053465</wp:posOffset>
            </wp:positionV>
            <wp:extent cx="8255"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-1336675</wp:posOffset>
            </wp:positionV>
            <wp:extent cx="825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-2442210</wp:posOffset>
            </wp:positionV>
            <wp:extent cx="8255"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106"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666666"/>
        </w:rPr>
        <w:t>Stock-based compensation includes payroll tax impacts and may not agree to stock-based compensation expense on the Condensed Consolidated Financial Statements.</w:t>
      </w:r>
    </w:p>
    <w:p>
      <w:pPr>
        <w:spacing w:after="0" w:line="55" w:lineRule="exact"/>
        <w:rPr>
          <w:rFonts w:ascii="Times New Roman" w:cs="Times New Roman" w:eastAsia="Times New Roman" w:hAnsi="Times New Roman"/>
          <w:sz w:val="14"/>
          <w:szCs w:val="14"/>
          <w:color w:val="666666"/>
        </w:rPr>
      </w:pPr>
    </w:p>
    <w:p>
      <w:pPr>
        <w:ind w:left="340" w:right="240" w:hanging="332"/>
        <w:spacing w:after="0" w:line="281" w:lineRule="auto"/>
        <w:tabs>
          <w:tab w:leader="none" w:pos="332" w:val="left"/>
        </w:tabs>
        <w:numPr>
          <w:ilvl w:val="0"/>
          <w:numId w:val="47"/>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666666"/>
        </w:rPr>
        <w:t>In Q4 2025, we began implementing network restructuring initiatives as a result of recent technological advancements that enhanced our Customer-Driven Coverage insights. Network restructuring initiative costs consist of network decommissioning and contract termination costs related to the rationalization of our network and backhaul services and the elimination of duplicative costs.</w:t>
      </w:r>
    </w:p>
    <w:p>
      <w:pPr>
        <w:spacing w:after="0" w:line="15" w:lineRule="exact"/>
        <w:rPr>
          <w:rFonts w:ascii="Times New Roman" w:cs="Times New Roman" w:eastAsia="Times New Roman" w:hAnsi="Times New Roman"/>
          <w:sz w:val="14"/>
          <w:szCs w:val="14"/>
          <w:color w:val="666666"/>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666666"/>
        </w:rPr>
        <w:t>Legal-related expenses (recoveries), net, consists of the settlement of certain litigation and compliance costs associated with the August 2021 cyberattack, net of insurance recoveries.</w:t>
      </w:r>
    </w:p>
    <w:p>
      <w:pPr>
        <w:spacing w:after="0" w:line="68" w:lineRule="exact"/>
        <w:rPr>
          <w:rFonts w:ascii="Times New Roman" w:cs="Times New Roman" w:eastAsia="Times New Roman" w:hAnsi="Times New Roman"/>
          <w:sz w:val="14"/>
          <w:szCs w:val="14"/>
          <w:color w:val="666666"/>
        </w:rPr>
      </w:pPr>
    </w:p>
    <w:p>
      <w:pPr>
        <w:ind w:left="340" w:right="140" w:hanging="332"/>
        <w:spacing w:after="0" w:line="265" w:lineRule="auto"/>
        <w:tabs>
          <w:tab w:leader="none" w:pos="332" w:val="left"/>
        </w:tabs>
        <w:numPr>
          <w:ilvl w:val="0"/>
          <w:numId w:val="47"/>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666666"/>
        </w:rPr>
        <w:t>Other, net, primarily consists of certain severance, restructuring and other expenses, gains and losses, not directly attributable to the UScellular acquisition, which are not reflective of T-Mobile’s ongoing core business activities and are, therefore, excluded from Adjusted EBITDA and Core Adjusted EBITDA. Other, net, for the three months ended March 31, 2026 and December 31, 2025, includes $141 million and $390 million, respectively, and $141 million for the nine months ended September 30, 2026, of severance and related costs associated with the 2025-2026 workforce transformation and reinvestment initiative. Additionally, Other, net, for the three months ended September 30, 2026 and June 30, 2026 , includes $50 million and $108 million, respectively, and $158 million for the nine months ended September 30, 2026, of costs associated with retail initiatives to close certain dealer- and corporate-owned stores in connection with our ongoing digital initiatives to simplify routine transactions, as well as enhance customer experiences by transitioning in part to large-format experience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40575" cy="4711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0575" cy="47117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4" w:name="page35"/>
    <w:bookmarkEnd w:id="34"/>
    <w:p>
      <w:pPr>
        <w:jc w:val="center"/>
        <w:ind w:left="1038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28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23</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666666"/>
        </w:rPr>
        <w:t>T-Mobile US,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666666"/>
        </w:rPr>
        <w:t>Reconciliation of Non-GAAP Financial Measures to GAAP Financial Measures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666666"/>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66666"/>
        </w:rPr>
        <w:t>Net debt (excluding tower obligations) to the LTM Net income, LTM Adjusted EBITDA and LTM Core Adjusted EBITDA ratios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377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666666"/>
              </w:rPr>
              <w:t>(in millions, except net debt ratios)</w:t>
            </w:r>
          </w:p>
        </w:tc>
        <w:tc>
          <w:tcPr>
            <w:tcW w:w="120" w:type="dxa"/>
            <w:vAlign w:val="bottom"/>
            <w:shd w:val="clear" w:color="auto" w:fill="E20074"/>
          </w:tcPr>
          <w:p>
            <w:pPr>
              <w:spacing w:after="0"/>
              <w:rPr>
                <w:sz w:val="14"/>
                <w:szCs w:val="14"/>
                <w:color w:val="auto"/>
              </w:rPr>
            </w:pPr>
          </w:p>
        </w:tc>
        <w:tc>
          <w:tcPr>
            <w:tcW w:w="660" w:type="dxa"/>
            <w:vAlign w:val="bottom"/>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Mar 31,</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40" w:type="dxa"/>
            <w:vAlign w:val="bottom"/>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Jun 30,</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40" w:type="dxa"/>
            <w:vAlign w:val="bottom"/>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Sep 30,</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40" w:type="dxa"/>
            <w:vAlign w:val="bottom"/>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Dec 31,</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60" w:type="dxa"/>
            <w:vAlign w:val="bottom"/>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Mar 31,</w:t>
            </w:r>
          </w:p>
        </w:tc>
        <w:tc>
          <w:tcPr>
            <w:tcW w:w="8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60" w:type="dxa"/>
            <w:vAlign w:val="bottom"/>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Jun 30,</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640" w:type="dxa"/>
            <w:vAlign w:val="bottom"/>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Sep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80" w:type="dxa"/>
            <w:vAlign w:val="bottom"/>
            <w:vMerge w:val="continue"/>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shd w:val="clear" w:color="auto" w:fill="E20074"/>
          </w:tcPr>
          <w:p>
            <w:pPr>
              <w:ind w:left="14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40" w:type="dxa"/>
            <w:vAlign w:val="bottom"/>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40" w:type="dxa"/>
            <w:vAlign w:val="bottom"/>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40" w:type="dxa"/>
            <w:vAlign w:val="bottom"/>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8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60" w:type="dxa"/>
            <w:vAlign w:val="bottom"/>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640" w:type="dxa"/>
            <w:vAlign w:val="bottom"/>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Short-term debt</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8,214</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6,408</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6,333</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5,135</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2,238</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6,117</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6,343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Short-term financing lease liabilities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1,155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1,158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Long-term debt</w:t>
            </w: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76,033</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75,018</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76,365</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79,649</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83,809</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78,504</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77,323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666666"/>
              </w:rPr>
              <w:t>Long-term debt to affiliates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1,498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1,498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Financing lease liabilities</w:t>
            </w: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1,117</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1,188</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1,186</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1,107</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1,024</w:t>
            </w: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1,121</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tcPr>
          <w:p>
            <w:pPr>
              <w:ind w:left="240"/>
              <w:spacing w:after="0"/>
              <w:rPr>
                <w:sz w:val="20"/>
                <w:szCs w:val="20"/>
                <w:color w:val="auto"/>
              </w:rPr>
            </w:pPr>
            <w:r>
              <w:rPr>
                <w:rFonts w:ascii="Times New Roman" w:cs="Times New Roman" w:eastAsia="Times New Roman" w:hAnsi="Times New Roman"/>
                <w:sz w:val="14"/>
                <w:szCs w:val="14"/>
                <w:color w:val="666666"/>
              </w:rPr>
              <w:t>Total debt (excluding tower obligations)</w:t>
            </w: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87,997</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85,268</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86,539</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88,552</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88,226</w:t>
            </w:r>
          </w:p>
        </w:tc>
        <w:tc>
          <w:tcPr>
            <w:tcW w:w="8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86,920</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85,960</w:t>
            </w:r>
          </w:p>
        </w:tc>
        <w:tc>
          <w:tcPr>
            <w:tcW w:w="20" w:type="dxa"/>
            <w:vAlign w:val="bottom"/>
            <w:tcBorders>
              <w:top w:val="single" w:sz="8" w:color="929292"/>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Less: Cash and cash equivalents</w:t>
            </w: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666666"/>
              </w:rPr>
              <w:t>(12,003)</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4"/>
                <w:szCs w:val="14"/>
                <w:color w:val="666666"/>
              </w:rPr>
              <w:t>(10,259)</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(3,310)</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(5,598)</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(3,520)</w:t>
            </w: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(2,825)</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tcPr>
          <w:p>
            <w:pPr>
              <w:ind w:left="240"/>
              <w:spacing w:after="0"/>
              <w:rPr>
                <w:sz w:val="20"/>
                <w:szCs w:val="20"/>
                <w:color w:val="auto"/>
              </w:rPr>
            </w:pPr>
            <w:r>
              <w:rPr>
                <w:rFonts w:ascii="Times New Roman" w:cs="Times New Roman" w:eastAsia="Times New Roman" w:hAnsi="Times New Roman"/>
                <w:sz w:val="14"/>
                <w:szCs w:val="14"/>
                <w:color w:val="666666"/>
              </w:rPr>
              <w:t>Net debt (excluding tower obligations)</w:t>
            </w: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75,994</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75,009</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83,229</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82,954</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84,706</w:t>
            </w:r>
          </w:p>
        </w:tc>
        <w:tc>
          <w:tcPr>
            <w:tcW w:w="8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84,095</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80,340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Divided by: Last twelve months Net income</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11,918</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12,215</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11,870</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10,992</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10,543</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10,560</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11,301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DBDBDB"/>
            </w:tcBorders>
          </w:tcPr>
          <w:p>
            <w:pPr>
              <w:ind w:left="220"/>
              <w:spacing w:after="0"/>
              <w:rPr>
                <w:sz w:val="20"/>
                <w:szCs w:val="20"/>
                <w:color w:val="auto"/>
              </w:rPr>
            </w:pPr>
            <w:r>
              <w:rPr>
                <w:rFonts w:ascii="Times New Roman" w:cs="Times New Roman" w:eastAsia="Times New Roman" w:hAnsi="Times New Roman"/>
                <w:sz w:val="14"/>
                <w:szCs w:val="14"/>
                <w:color w:val="666666"/>
              </w:rPr>
              <w:t>Net debt (excluding tower obligations) to LTM Net income Ratio</w:t>
            </w:r>
          </w:p>
        </w:tc>
        <w:tc>
          <w:tcPr>
            <w:tcW w:w="120" w:type="dxa"/>
            <w:vAlign w:val="bottom"/>
            <w:tcBorders>
              <w:top w:val="single" w:sz="8" w:color="929292"/>
              <w:bottom w:val="single" w:sz="8" w:color="929292"/>
            </w:tcBorders>
          </w:tcPr>
          <w:p>
            <w:pPr>
              <w:spacing w:after="0"/>
              <w:rPr>
                <w:sz w:val="17"/>
                <w:szCs w:val="17"/>
                <w:color w:val="auto"/>
              </w:rPr>
            </w:pP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6.4</w:t>
            </w:r>
          </w:p>
        </w:tc>
        <w:tc>
          <w:tcPr>
            <w:tcW w:w="100" w:type="dxa"/>
            <w:vAlign w:val="bottom"/>
            <w:tcBorders>
              <w:bottom w:val="single" w:sz="8" w:color="DBDBDB"/>
            </w:tcBorders>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6.1</w:t>
            </w:r>
          </w:p>
        </w:tc>
        <w:tc>
          <w:tcPr>
            <w:tcW w:w="100" w:type="dxa"/>
            <w:vAlign w:val="bottom"/>
            <w:tcBorders>
              <w:bottom w:val="single" w:sz="8" w:color="DBDBDB"/>
            </w:tcBorders>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7.0</w:t>
            </w:r>
          </w:p>
        </w:tc>
        <w:tc>
          <w:tcPr>
            <w:tcW w:w="100" w:type="dxa"/>
            <w:vAlign w:val="bottom"/>
            <w:tcBorders>
              <w:bottom w:val="single" w:sz="8" w:color="DBDBDB"/>
            </w:tcBorders>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7.5</w:t>
            </w:r>
          </w:p>
        </w:tc>
        <w:tc>
          <w:tcPr>
            <w:tcW w:w="100" w:type="dxa"/>
            <w:vAlign w:val="bottom"/>
            <w:tcBorders>
              <w:bottom w:val="single" w:sz="8" w:color="DBDBDB"/>
            </w:tcBorders>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66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8.0</w:t>
            </w:r>
          </w:p>
        </w:tc>
        <w:tc>
          <w:tcPr>
            <w:tcW w:w="80" w:type="dxa"/>
            <w:vAlign w:val="bottom"/>
            <w:tcBorders>
              <w:bottom w:val="single" w:sz="8" w:color="DBDBDB"/>
            </w:tcBorders>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8.0</w:t>
            </w:r>
          </w:p>
        </w:tc>
        <w:tc>
          <w:tcPr>
            <w:tcW w:w="100" w:type="dxa"/>
            <w:vAlign w:val="bottom"/>
            <w:tcBorders>
              <w:bottom w:val="single" w:sz="8" w:color="DBDBDB"/>
            </w:tcBorders>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Divided by: Last twelve months Adjusted EBITDA</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32,471</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32,965</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33,406</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33,937</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34,919</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35,909</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36,845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tcBorders>
              <w:bottom w:val="single" w:sz="8" w:color="DBDBDB"/>
            </w:tcBorders>
          </w:tcPr>
          <w:p>
            <w:pPr>
              <w:ind w:left="220"/>
              <w:spacing w:after="0"/>
              <w:rPr>
                <w:sz w:val="20"/>
                <w:szCs w:val="20"/>
                <w:color w:val="auto"/>
              </w:rPr>
            </w:pPr>
            <w:r>
              <w:rPr>
                <w:rFonts w:ascii="Times New Roman" w:cs="Times New Roman" w:eastAsia="Times New Roman" w:hAnsi="Times New Roman"/>
                <w:sz w:val="14"/>
                <w:szCs w:val="14"/>
                <w:color w:val="666666"/>
              </w:rPr>
              <w:t>Net debt (excluding tower obligations) to LTM Adjusted EBITDA Ratio</w:t>
            </w:r>
          </w:p>
        </w:tc>
        <w:tc>
          <w:tcPr>
            <w:tcW w:w="120" w:type="dxa"/>
            <w:vAlign w:val="bottom"/>
            <w:tcBorders>
              <w:top w:val="single" w:sz="8" w:color="929292"/>
              <w:bottom w:val="single" w:sz="8" w:color="929292"/>
            </w:tcBorders>
          </w:tcPr>
          <w:p>
            <w:pPr>
              <w:spacing w:after="0"/>
              <w:rPr>
                <w:sz w:val="18"/>
                <w:szCs w:val="18"/>
                <w:color w:val="auto"/>
              </w:rPr>
            </w:pP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2.3</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2.3</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2.5</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2.4</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6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2.4</w:t>
            </w:r>
          </w:p>
        </w:tc>
        <w:tc>
          <w:tcPr>
            <w:tcW w:w="8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2.3</w:t>
            </w:r>
          </w:p>
        </w:tc>
        <w:tc>
          <w:tcPr>
            <w:tcW w:w="100" w:type="dxa"/>
            <w:vAlign w:val="bottom"/>
            <w:tcBorders>
              <w:bottom w:val="single" w:sz="8" w:color="DBDBDB"/>
            </w:tcBorders>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Divided by: Last twelve months Core Adjusted EBITDA</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32,412</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32,926</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33,384</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33,924</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666666"/>
              </w:rPr>
              <w:t>34,906</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35,902</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666666"/>
              </w:rPr>
              <w:t>36,842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666666"/>
              </w:rPr>
              <w:t>Net debt (excluding tower obligations) to LTM Core Adjusted EBITDA Ratio</w:t>
            </w:r>
          </w:p>
        </w:tc>
        <w:tc>
          <w:tcPr>
            <w:tcW w:w="120" w:type="dxa"/>
            <w:vAlign w:val="bottom"/>
            <w:tcBorders>
              <w:top w:val="single" w:sz="8" w:color="929292"/>
              <w:bottom w:val="single" w:sz="8" w:color="929292"/>
            </w:tcBorders>
          </w:tcPr>
          <w:p>
            <w:pPr>
              <w:spacing w:after="0"/>
              <w:rPr>
                <w:sz w:val="18"/>
                <w:szCs w:val="18"/>
                <w:color w:val="auto"/>
              </w:rPr>
            </w:pP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2.3</w:t>
            </w:r>
          </w:p>
        </w:tc>
        <w:tc>
          <w:tcPr>
            <w:tcW w:w="100" w:type="dxa"/>
            <w:vAlign w:val="bottom"/>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2.3</w:t>
            </w:r>
          </w:p>
        </w:tc>
        <w:tc>
          <w:tcPr>
            <w:tcW w:w="100" w:type="dxa"/>
            <w:vAlign w:val="bottom"/>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2.5</w:t>
            </w:r>
          </w:p>
        </w:tc>
        <w:tc>
          <w:tcPr>
            <w:tcW w:w="100" w:type="dxa"/>
            <w:vAlign w:val="bottom"/>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2.4</w:t>
            </w:r>
          </w:p>
        </w:tc>
        <w:tc>
          <w:tcPr>
            <w:tcW w:w="100" w:type="dxa"/>
            <w:vAlign w:val="bottom"/>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60" w:type="dxa"/>
            <w:vAlign w:val="bottom"/>
            <w:tcBorders>
              <w:top w:val="single" w:sz="8" w:color="929292"/>
              <w:bottom w:val="single" w:sz="8" w:color="929292"/>
            </w:tcBorders>
          </w:tcPr>
          <w:p>
            <w:pPr>
              <w:jc w:val="right"/>
              <w:ind w:right="8"/>
              <w:spacing w:after="0"/>
              <w:rPr>
                <w:sz w:val="20"/>
                <w:szCs w:val="20"/>
                <w:color w:val="auto"/>
              </w:rPr>
            </w:pPr>
            <w:r>
              <w:rPr>
                <w:rFonts w:ascii="Times New Roman" w:cs="Times New Roman" w:eastAsia="Times New Roman" w:hAnsi="Times New Roman"/>
                <w:sz w:val="14"/>
                <w:szCs w:val="14"/>
                <w:color w:val="666666"/>
              </w:rPr>
              <w:t>2.4</w:t>
            </w:r>
          </w:p>
        </w:tc>
        <w:tc>
          <w:tcPr>
            <w:tcW w:w="80" w:type="dxa"/>
            <w:vAlign w:val="bottom"/>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2.3</w:t>
            </w:r>
          </w:p>
        </w:tc>
        <w:tc>
          <w:tcPr>
            <w:tcW w:w="100" w:type="dxa"/>
            <w:vAlign w:val="bottom"/>
          </w:tcPr>
          <w:p>
            <w:pPr>
              <w:spacing w:after="0"/>
              <w:rPr>
                <w:sz w:val="18"/>
                <w:szCs w:val="18"/>
                <w:color w:val="auto"/>
              </w:rPr>
            </w:pPr>
          </w:p>
        </w:tc>
        <w:tc>
          <w:tcPr>
            <w:tcW w:w="120" w:type="dxa"/>
            <w:vAlign w:val="bottom"/>
            <w:tcBorders>
              <w:top w:val="single" w:sz="8" w:color="929292"/>
              <w:bottom w:val="single" w:sz="8" w:color="929292"/>
            </w:tcBorders>
          </w:tcPr>
          <w:p>
            <w:pPr>
              <w:spacing w:after="0"/>
              <w:rPr>
                <w:sz w:val="18"/>
                <w:szCs w:val="18"/>
                <w:color w:val="auto"/>
              </w:rPr>
            </w:pPr>
          </w:p>
        </w:tc>
        <w:tc>
          <w:tcPr>
            <w:tcW w:w="6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666666"/>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-1490980</wp:posOffset>
            </wp:positionV>
            <wp:extent cx="825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66666"/>
        </w:rPr>
        <w:t>Adjusted Free Cash Flow and Adjusted Free Cash Flow margin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523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0575" cy="52324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8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820" w:type="dxa"/>
            <w:vAlign w:val="bottom"/>
            <w:shd w:val="clear" w:color="auto" w:fill="E20074"/>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8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820" w:type="dxa"/>
            <w:vAlign w:val="bottom"/>
            <w:vMerge w:val="restart"/>
            <w:shd w:val="clear" w:color="auto" w:fill="E20074"/>
          </w:tcPr>
          <w:p>
            <w:pPr>
              <w:ind w:left="180"/>
              <w:spacing w:after="0"/>
              <w:rPr>
                <w:sz w:val="20"/>
                <w:szCs w:val="20"/>
                <w:color w:val="auto"/>
              </w:rPr>
            </w:pPr>
            <w:r>
              <w:rPr>
                <w:rFonts w:ascii="Times New Roman" w:cs="Times New Roman" w:eastAsia="Times New Roman" w:hAnsi="Times New Roman"/>
                <w:sz w:val="14"/>
                <w:szCs w:val="14"/>
                <w:b w:val="1"/>
                <w:bCs w:val="1"/>
                <w:color w:val="FFFFFF"/>
              </w:rPr>
              <w:t>Quarter</w:t>
            </w:r>
          </w:p>
        </w:tc>
        <w:tc>
          <w:tcPr>
            <w:tcW w:w="120" w:type="dxa"/>
            <w:vAlign w:val="bottom"/>
            <w:shd w:val="clear" w:color="auto" w:fill="E20074"/>
          </w:tcPr>
          <w:p>
            <w:pPr>
              <w:spacing w:after="0"/>
              <w:rPr>
                <w:sz w:val="14"/>
                <w:szCs w:val="14"/>
                <w:color w:val="auto"/>
              </w:rPr>
            </w:pPr>
          </w:p>
        </w:tc>
        <w:tc>
          <w:tcPr>
            <w:tcW w:w="82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840" w:type="dxa"/>
            <w:vAlign w:val="bottom"/>
            <w:shd w:val="clear" w:color="auto" w:fill="E20074"/>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82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shd w:val="clear" w:color="auto" w:fill="E20074"/>
          </w:tcPr>
          <w:p>
            <w:pPr>
              <w:ind w:left="280"/>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8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820" w:type="dxa"/>
            <w:vAlign w:val="bottom"/>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8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820" w:type="dxa"/>
            <w:vAlign w:val="bottom"/>
            <w:vMerge w:val="continue"/>
            <w:shd w:val="clear" w:color="auto" w:fill="E20074"/>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82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840" w:type="dxa"/>
            <w:vAlign w:val="bottom"/>
            <w:shd w:val="clear" w:color="auto" w:fill="E20074"/>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82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shd w:val="clear" w:color="auto" w:fill="E20074"/>
          </w:tcPr>
          <w:p>
            <w:pPr>
              <w:ind w:left="460"/>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10"/>
        </w:trPr>
        <w:tc>
          <w:tcPr>
            <w:tcW w:w="29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666666"/>
              </w:rPr>
              <w:t>(in millions, except percentages)</w:t>
            </w:r>
          </w:p>
        </w:tc>
        <w:tc>
          <w:tcPr>
            <w:tcW w:w="82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Q1 2025</w:t>
            </w:r>
          </w:p>
        </w:tc>
        <w:tc>
          <w:tcPr>
            <w:tcW w:w="10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Q2 2025</w:t>
            </w:r>
          </w:p>
        </w:tc>
        <w:tc>
          <w:tcPr>
            <w:tcW w:w="12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Q3 2025</w:t>
            </w:r>
          </w:p>
        </w:tc>
        <w:tc>
          <w:tcPr>
            <w:tcW w:w="10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ind w:left="160"/>
              <w:spacing w:after="0"/>
              <w:rPr>
                <w:sz w:val="20"/>
                <w:szCs w:val="20"/>
                <w:color w:val="auto"/>
              </w:rPr>
            </w:pPr>
            <w:r>
              <w:rPr>
                <w:rFonts w:ascii="Times New Roman" w:cs="Times New Roman" w:eastAsia="Times New Roman" w:hAnsi="Times New Roman"/>
                <w:sz w:val="14"/>
                <w:szCs w:val="14"/>
                <w:b w:val="1"/>
                <w:bCs w:val="1"/>
                <w:color w:val="FFFFFF"/>
              </w:rPr>
              <w:t>Q4 2025</w:t>
            </w:r>
          </w:p>
        </w:tc>
        <w:tc>
          <w:tcPr>
            <w:tcW w:w="12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Q1 2026</w:t>
            </w:r>
          </w:p>
        </w:tc>
        <w:tc>
          <w:tcPr>
            <w:tcW w:w="100" w:type="dxa"/>
            <w:vAlign w:val="bottom"/>
          </w:tcPr>
          <w:p>
            <w:pPr>
              <w:spacing w:after="0"/>
              <w:rPr>
                <w:sz w:val="18"/>
                <w:szCs w:val="18"/>
                <w:color w:val="auto"/>
              </w:rPr>
            </w:pPr>
          </w:p>
        </w:tc>
        <w:tc>
          <w:tcPr>
            <w:tcW w:w="840" w:type="dxa"/>
            <w:vAlign w:val="bottom"/>
            <w:tcBorders>
              <w:bottom w:val="single" w:sz="8" w:color="E20074"/>
            </w:tcBorders>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Q2 2026</w:t>
            </w:r>
          </w:p>
        </w:tc>
        <w:tc>
          <w:tcPr>
            <w:tcW w:w="10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Q3 2026</w:t>
            </w:r>
          </w:p>
        </w:tc>
        <w:tc>
          <w:tcPr>
            <w:tcW w:w="120" w:type="dxa"/>
            <w:vAlign w:val="bottom"/>
          </w:tcPr>
          <w:p>
            <w:pPr>
              <w:spacing w:after="0"/>
              <w:rPr>
                <w:sz w:val="18"/>
                <w:szCs w:val="18"/>
                <w:color w:val="auto"/>
              </w:rPr>
            </w:pPr>
          </w:p>
        </w:tc>
        <w:tc>
          <w:tcPr>
            <w:tcW w:w="840" w:type="dxa"/>
            <w:vAlign w:val="bottom"/>
            <w:tcBorders>
              <w:bottom w:val="single" w:sz="8" w:color="E20074"/>
            </w:tcBorders>
            <w:shd w:val="clear" w:color="auto" w:fill="E20074"/>
          </w:tcPr>
          <w:p>
            <w:pPr>
              <w:ind w:left="28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860" w:type="dxa"/>
            <w:vAlign w:val="bottom"/>
            <w:tcBorders>
              <w:bottom w:val="single" w:sz="8" w:color="E20074"/>
            </w:tcBorders>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6"/>
        </w:trPr>
        <w:tc>
          <w:tcPr>
            <w:tcW w:w="2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666666"/>
              </w:rPr>
              <w:t>Net cash provided by operating activities</w:t>
            </w:r>
          </w:p>
        </w:tc>
        <w:tc>
          <w:tcPr>
            <w:tcW w:w="820" w:type="dxa"/>
            <w:vAlign w:val="bottom"/>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66666"/>
              </w:rPr>
              <w:t>$   6,847</w:t>
            </w:r>
          </w:p>
        </w:tc>
        <w:tc>
          <w:tcPr>
            <w:tcW w:w="92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6,992</w:t>
            </w:r>
          </w:p>
        </w:tc>
        <w:tc>
          <w:tcPr>
            <w:tcW w:w="94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7,457</w:t>
            </w:r>
          </w:p>
        </w:tc>
        <w:tc>
          <w:tcPr>
            <w:tcW w:w="92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6,654</w:t>
            </w:r>
          </w:p>
        </w:tc>
        <w:tc>
          <w:tcPr>
            <w:tcW w:w="94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7,222</w:t>
            </w:r>
          </w:p>
        </w:tc>
        <w:tc>
          <w:tcPr>
            <w:tcW w:w="940" w:type="dxa"/>
            <w:vAlign w:val="bottom"/>
            <w:gridSpan w:val="2"/>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6D6D6D"/>
              </w:rPr>
              <w:t>$   7,500</w:t>
            </w:r>
          </w:p>
        </w:tc>
        <w:tc>
          <w:tcPr>
            <w:tcW w:w="92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7,341</w:t>
            </w:r>
          </w:p>
        </w:tc>
        <w:tc>
          <w:tcPr>
            <w:tcW w:w="96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21,296</w:t>
            </w:r>
          </w:p>
        </w:tc>
        <w:tc>
          <w:tcPr>
            <w:tcW w:w="960" w:type="dxa"/>
            <w:vAlign w:val="bottom"/>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6D6D6D"/>
              </w:rPr>
              <w:t>$   22,063</w:t>
            </w:r>
          </w:p>
        </w:tc>
        <w:tc>
          <w:tcPr>
            <w:tcW w:w="0" w:type="dxa"/>
            <w:vAlign w:val="bottom"/>
          </w:tcPr>
          <w:p>
            <w:pPr>
              <w:spacing w:after="0"/>
              <w:rPr>
                <w:sz w:val="1"/>
                <w:szCs w:val="1"/>
                <w:color w:val="auto"/>
              </w:rPr>
            </w:pPr>
          </w:p>
        </w:tc>
      </w:tr>
      <w:tr>
        <w:trPr>
          <w:trHeight w:val="23"/>
        </w:trPr>
        <w:tc>
          <w:tcPr>
            <w:tcW w:w="292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60"/>
          </w:cols>
          <w:pgMar w:left="320" w:top="285" w:right="319" w:bottom="1440" w:gutter="0" w:footer="0" w:header="0"/>
        </w:sectPr>
      </w:pPr>
    </w:p>
    <w:p>
      <w:pPr>
        <w:ind w:left="20" w:right="60"/>
        <w:spacing w:after="0" w:line="241" w:lineRule="auto"/>
        <w:rPr>
          <w:sz w:val="20"/>
          <w:szCs w:val="20"/>
          <w:color w:val="auto"/>
        </w:rPr>
      </w:pPr>
      <w:r>
        <w:rPr>
          <w:rFonts w:ascii="Times New Roman" w:cs="Times New Roman" w:eastAsia="Times New Roman" w:hAnsi="Times New Roman"/>
          <w:sz w:val="14"/>
          <w:szCs w:val="14"/>
          <w:color w:val="666666"/>
        </w:rPr>
        <w:t>Cash purchases of property and equipment, including capitalized interest</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666666"/>
        </w:rPr>
        <w:t>Adjusted Free Cash Flow</w:t>
      </w:r>
    </w:p>
    <w:p>
      <w:pPr>
        <w:spacing w:after="0" w:line="109" w:lineRule="exact"/>
        <w:rPr>
          <w:sz w:val="20"/>
          <w:szCs w:val="20"/>
          <w:color w:val="auto"/>
        </w:rPr>
      </w:pPr>
    </w:p>
    <w:p>
      <w:pPr>
        <w:ind w:left="220"/>
        <w:spacing w:after="0" w:line="241" w:lineRule="auto"/>
        <w:rPr>
          <w:sz w:val="20"/>
          <w:szCs w:val="20"/>
          <w:color w:val="auto"/>
        </w:rPr>
      </w:pPr>
      <w:r>
        <w:rPr>
          <w:rFonts w:ascii="Times New Roman" w:cs="Times New Roman" w:eastAsia="Times New Roman" w:hAnsi="Times New Roman"/>
          <w:sz w:val="14"/>
          <w:szCs w:val="14"/>
          <w:color w:val="666666"/>
        </w:rPr>
        <w:t>Net cash provided by operating activities margin</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666666"/>
        </w:rPr>
        <w:t>Adjusted Free Cash Flow margin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6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666666"/>
              </w:rPr>
              <w:t>(2,451)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D6D6D"/>
              </w:rPr>
              <w:t>(2,396)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6D6D6D"/>
              </w:rPr>
              <w:t>(2,639)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D6D6D"/>
              </w:rPr>
              <w:t>(2,469)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D6D6D"/>
              </w:rPr>
              <w:t>(2,623)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6D6D6D"/>
              </w:rPr>
              <w:t>(2,703)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D6D6D"/>
              </w:rPr>
              <w:t>(2,270)</w:t>
            </w:r>
          </w:p>
        </w:tc>
        <w:tc>
          <w:tcPr>
            <w:tcW w:w="12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6D6D6D"/>
              </w:rPr>
              <w:t>(7,486)</w:t>
            </w:r>
          </w:p>
        </w:tc>
        <w:tc>
          <w:tcPr>
            <w:tcW w:w="1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6D6D6D"/>
              </w:rPr>
              <w:t>(7,596)</w:t>
            </w:r>
          </w:p>
        </w:tc>
      </w:tr>
      <w:tr>
        <w:trPr>
          <w:trHeight w:val="23"/>
        </w:trPr>
        <w:tc>
          <w:tcPr>
            <w:tcW w:w="16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r>
      <w:tr>
        <w:trPr>
          <w:trHeight w:val="186"/>
        </w:trPr>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4,396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4,596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4,818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4,185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w w:val="85"/>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4,599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666666"/>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4,797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666666"/>
                <w:w w:val="85"/>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5,071</w:t>
            </w:r>
          </w:p>
        </w:tc>
        <w:tc>
          <w:tcPr>
            <w:tcW w:w="1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666666"/>
              </w:rPr>
              <w:t>$   13,810</w:t>
            </w:r>
          </w:p>
        </w:tc>
        <w:tc>
          <w:tcPr>
            <w:tcW w:w="1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666666"/>
              </w:rPr>
              <w:t>$   14,467</w:t>
            </w:r>
          </w:p>
        </w:tc>
      </w:tr>
      <w:tr>
        <w:trPr>
          <w:trHeight w:val="30"/>
        </w:trPr>
        <w:tc>
          <w:tcPr>
            <w:tcW w:w="16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r>
      <w:tr>
        <w:trPr>
          <w:trHeight w:val="422"/>
        </w:trPr>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40.9 %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35.6 %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38.4 %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39.5 %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37.9 %</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40.5 %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D6D6D"/>
              </w:rPr>
              <w:t>38.6 %</w:t>
            </w:r>
          </w:p>
        </w:tc>
      </w:tr>
      <w:tr>
        <w:trPr>
          <w:trHeight w:val="324"/>
        </w:trPr>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26.0 %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26.4 %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22.4 %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24.4 %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25.3 %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26.2 %</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666666"/>
              </w:rPr>
              <w:t>26.3 %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6D6D6D"/>
              </w:rPr>
              <w:t>25.3 %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-636270</wp:posOffset>
            </wp:positionV>
            <wp:extent cx="7140575" cy="651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0575" cy="65151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1309370</wp:posOffset>
            </wp:positionV>
            <wp:extent cx="7140575" cy="471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2">
            <w:col w:w="2580" w:space="340"/>
            <w:col w:w="8340"/>
          </w:cols>
          <w:pgMar w:left="320" w:top="285" w:right="319" w:bottom="1440" w:gutter="0" w:footer="0" w:header="0"/>
          <w:type w:val="continuous"/>
        </w:sectPr>
      </w:pPr>
    </w:p>
    <w:bookmarkStart w:id="35" w:name="page36"/>
    <w:bookmarkEnd w:id="35"/>
    <w:p>
      <w:pPr>
        <w:ind w:left="1064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28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24</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66666"/>
        </w:rPr>
        <w:t>Definitions of Terms</w:t>
      </w:r>
    </w:p>
    <w:p>
      <w:pPr>
        <w:spacing w:after="0" w:line="262"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666666"/>
        </w:rPr>
        <w:t>Operating and financial measures are utilized by T-Mobile’s management to evaluate its operating performance and, in certain cases, its ability to meet liquidity requirements. Although companies in the telecommunications industry may not define measures in precisely the same way, T-Mobile believes the measures facilitate key operating performance comparisons with other companies in the telecommunications industry to provide management, investors and analysts with useful information to assess and evaluate past performance and assist in forecasting future performance.</w:t>
      </w:r>
    </w:p>
    <w:p>
      <w:pPr>
        <w:spacing w:after="0" w:line="21" w:lineRule="exact"/>
        <w:rPr>
          <w:sz w:val="20"/>
          <w:szCs w:val="20"/>
          <w:color w:val="auto"/>
        </w:rPr>
      </w:pPr>
    </w:p>
    <w:p>
      <w:pPr>
        <w:jc w:val="both"/>
        <w:ind w:left="340" w:right="40" w:hanging="332"/>
        <w:spacing w:after="0" w:line="273"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Account </w:t>
      </w:r>
      <w:r>
        <w:rPr>
          <w:rFonts w:ascii="Arial" w:cs="Arial" w:eastAsia="Arial" w:hAnsi="Arial"/>
          <w:sz w:val="14"/>
          <w:szCs w:val="14"/>
          <w:color w:val="666666"/>
        </w:rPr>
        <w:t>- Generally, a billing account that generates revenue. Postpaid accounts generally consist of customers that are qualified for postpaid service utilizing phones, 5G</w:t>
      </w:r>
      <w:r>
        <w:rPr>
          <w:rFonts w:ascii="Arial" w:cs="Arial" w:eastAsia="Arial" w:hAnsi="Arial"/>
          <w:sz w:val="14"/>
          <w:szCs w:val="14"/>
          <w:b w:val="1"/>
          <w:bCs w:val="1"/>
          <w:color w:val="666666"/>
        </w:rPr>
        <w:t xml:space="preserve"> </w:t>
      </w:r>
      <w:r>
        <w:rPr>
          <w:rFonts w:ascii="Arial" w:cs="Arial" w:eastAsia="Arial" w:hAnsi="Arial"/>
          <w:sz w:val="14"/>
          <w:szCs w:val="14"/>
          <w:color w:val="666666"/>
        </w:rPr>
        <w:t>broadband gateways, fiber connections, mobile internet devices, including tablets and hotspots, wearables, DIGITS or other connected devices, including SyncUP and IoT, where they generally pay after receiving service.</w:t>
      </w:r>
    </w:p>
    <w:p>
      <w:pPr>
        <w:spacing w:after="0" w:line="4" w:lineRule="exact"/>
        <w:rPr>
          <w:rFonts w:ascii="Arial" w:cs="Arial" w:eastAsia="Arial" w:hAnsi="Arial"/>
          <w:sz w:val="14"/>
          <w:szCs w:val="14"/>
          <w:b w:val="1"/>
          <w:bCs w:val="1"/>
          <w:color w:val="666666"/>
        </w:rPr>
      </w:pPr>
    </w:p>
    <w:p>
      <w:pPr>
        <w:jc w:val="both"/>
        <w:ind w:left="340" w:right="160" w:hanging="332"/>
        <w:spacing w:after="0" w:line="281"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Account Churn </w:t>
      </w:r>
      <w:r>
        <w:rPr>
          <w:rFonts w:ascii="Arial" w:cs="Arial" w:eastAsia="Arial" w:hAnsi="Arial"/>
          <w:sz w:val="14"/>
          <w:szCs w:val="14"/>
          <w:color w:val="666666"/>
        </w:rPr>
        <w:t>- The number of accounts whose service was deactivated as a percentage of the average number of accounts during the specified period further divided</w:t>
      </w:r>
      <w:r>
        <w:rPr>
          <w:rFonts w:ascii="Arial" w:cs="Arial" w:eastAsia="Arial" w:hAnsi="Arial"/>
          <w:sz w:val="14"/>
          <w:szCs w:val="14"/>
          <w:b w:val="1"/>
          <w:bCs w:val="1"/>
          <w:color w:val="666666"/>
        </w:rPr>
        <w:t xml:space="preserve"> </w:t>
      </w:r>
      <w:r>
        <w:rPr>
          <w:rFonts w:ascii="Arial" w:cs="Arial" w:eastAsia="Arial" w:hAnsi="Arial"/>
          <w:sz w:val="14"/>
          <w:szCs w:val="14"/>
          <w:color w:val="666666"/>
        </w:rPr>
        <w:t>by the number of months in the period. The number of accounts whose service was deactivated is calculated net of accounts that subsequently had their service restored within a certain period of time and excludes accounts who received service for less than a certain minimum period of time, account mergers and account migrations.</w:t>
      </w:r>
    </w:p>
    <w:p>
      <w:pPr>
        <w:spacing w:after="0" w:line="1" w:lineRule="exact"/>
        <w:rPr>
          <w:rFonts w:ascii="Arial" w:cs="Arial" w:eastAsia="Arial" w:hAnsi="Arial"/>
          <w:sz w:val="14"/>
          <w:szCs w:val="14"/>
          <w:b w:val="1"/>
          <w:bCs w:val="1"/>
          <w:color w:val="666666"/>
        </w:rPr>
      </w:pPr>
    </w:p>
    <w:p>
      <w:pPr>
        <w:ind w:left="340" w:right="120" w:hanging="332"/>
        <w:spacing w:after="0" w:line="291"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Postpaid Average Revenue Per Account (“ARPA”) </w:t>
      </w:r>
      <w:r>
        <w:rPr>
          <w:rFonts w:ascii="Arial" w:cs="Arial" w:eastAsia="Arial" w:hAnsi="Arial"/>
          <w:sz w:val="14"/>
          <w:szCs w:val="14"/>
          <w:color w:val="666666"/>
        </w:rPr>
        <w:t>- Average monthly postpaid service revenue earned per account. Postpaid service revenues for the specified period</w:t>
      </w:r>
      <w:r>
        <w:rPr>
          <w:rFonts w:ascii="Arial" w:cs="Arial" w:eastAsia="Arial" w:hAnsi="Arial"/>
          <w:sz w:val="14"/>
          <w:szCs w:val="14"/>
          <w:b w:val="1"/>
          <w:bCs w:val="1"/>
          <w:color w:val="666666"/>
        </w:rPr>
        <w:t xml:space="preserve"> </w:t>
      </w:r>
      <w:r>
        <w:rPr>
          <w:rFonts w:ascii="Arial" w:cs="Arial" w:eastAsia="Arial" w:hAnsi="Arial"/>
          <w:sz w:val="14"/>
          <w:szCs w:val="14"/>
          <w:color w:val="666666"/>
        </w:rPr>
        <w:t>divided by the average number of postpaid accounts during the period, further divided by the number of months in the period.</w:t>
      </w:r>
    </w:p>
    <w:p>
      <w:pPr>
        <w:spacing w:after="0" w:line="1" w:lineRule="exact"/>
        <w:rPr>
          <w:rFonts w:ascii="Arial" w:cs="Arial" w:eastAsia="Arial" w:hAnsi="Arial"/>
          <w:sz w:val="14"/>
          <w:szCs w:val="14"/>
          <w:b w:val="1"/>
          <w:bCs w:val="1"/>
          <w:color w:val="666666"/>
        </w:rPr>
      </w:pPr>
    </w:p>
    <w:p>
      <w:pPr>
        <w:ind w:left="340"/>
        <w:spacing w:after="0"/>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Service revenues </w:t>
      </w:r>
      <w:r>
        <w:rPr>
          <w:rFonts w:ascii="Arial" w:cs="Arial" w:eastAsia="Arial" w:hAnsi="Arial"/>
          <w:sz w:val="14"/>
          <w:szCs w:val="14"/>
          <w:color w:val="666666"/>
        </w:rPr>
        <w:t>- Postpaid, including handset insurance, prepaid, wholesale and other service revenues.</w:t>
      </w:r>
    </w:p>
    <w:p>
      <w:pPr>
        <w:spacing w:after="0" w:line="55" w:lineRule="exact"/>
        <w:rPr>
          <w:rFonts w:ascii="Arial" w:cs="Arial" w:eastAsia="Arial" w:hAnsi="Arial"/>
          <w:sz w:val="14"/>
          <w:szCs w:val="14"/>
          <w:b w:val="1"/>
          <w:bCs w:val="1"/>
          <w:color w:val="666666"/>
        </w:rPr>
      </w:pPr>
    </w:p>
    <w:p>
      <w:pPr>
        <w:ind w:left="340" w:right="200" w:hanging="332"/>
        <w:spacing w:after="0" w:line="281"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Cost of services </w:t>
      </w:r>
      <w:r>
        <w:rPr>
          <w:rFonts w:ascii="Arial" w:cs="Arial" w:eastAsia="Arial" w:hAnsi="Arial"/>
          <w:sz w:val="14"/>
          <w:szCs w:val="14"/>
          <w:color w:val="666666"/>
        </w:rPr>
        <w:t>- Costs directly attributable to providing wireless communications and broadband services, including direct switch and cell site costs, such as rent,</w:t>
      </w:r>
      <w:r>
        <w:rPr>
          <w:rFonts w:ascii="Arial" w:cs="Arial" w:eastAsia="Arial" w:hAnsi="Arial"/>
          <w:sz w:val="14"/>
          <w:szCs w:val="14"/>
          <w:b w:val="1"/>
          <w:bCs w:val="1"/>
          <w:color w:val="666666"/>
        </w:rPr>
        <w:t xml:space="preserve"> </w:t>
      </w:r>
      <w:r>
        <w:rPr>
          <w:rFonts w:ascii="Arial" w:cs="Arial" w:eastAsia="Arial" w:hAnsi="Arial"/>
          <w:sz w:val="14"/>
          <w:szCs w:val="14"/>
          <w:color w:val="666666"/>
        </w:rPr>
        <w:t>network access and transport costs, utilities, maintenance, associated labor costs, long distance costs, regulatory program costs, roaming fees paid to other carriers and data content costs.</w:t>
      </w:r>
    </w:p>
    <w:p>
      <w:pPr>
        <w:spacing w:after="0" w:line="1" w:lineRule="exact"/>
        <w:rPr>
          <w:rFonts w:ascii="Arial" w:cs="Arial" w:eastAsia="Arial" w:hAnsi="Arial"/>
          <w:sz w:val="14"/>
          <w:szCs w:val="14"/>
          <w:b w:val="1"/>
          <w:bCs w:val="1"/>
          <w:color w:val="666666"/>
        </w:rPr>
      </w:pPr>
    </w:p>
    <w:p>
      <w:pPr>
        <w:ind w:left="340" w:right="60"/>
        <w:spacing w:after="0" w:line="291" w:lineRule="auto"/>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Cost of equipment sales </w:t>
      </w:r>
      <w:r>
        <w:rPr>
          <w:rFonts w:ascii="Arial" w:cs="Arial" w:eastAsia="Arial" w:hAnsi="Arial"/>
          <w:sz w:val="14"/>
          <w:szCs w:val="14"/>
          <w:color w:val="666666"/>
        </w:rPr>
        <w:t>- Costs of devices and accessories sold to customers and dealers, device costs to fulfill insurance and warranty claims, write-downs of inventory</w:t>
      </w:r>
      <w:r>
        <w:rPr>
          <w:rFonts w:ascii="Arial" w:cs="Arial" w:eastAsia="Arial" w:hAnsi="Arial"/>
          <w:sz w:val="14"/>
          <w:szCs w:val="14"/>
          <w:b w:val="1"/>
          <w:bCs w:val="1"/>
          <w:color w:val="666666"/>
        </w:rPr>
        <w:t xml:space="preserve"> </w:t>
      </w:r>
      <w:r>
        <w:rPr>
          <w:rFonts w:ascii="Arial" w:cs="Arial" w:eastAsia="Arial" w:hAnsi="Arial"/>
          <w:sz w:val="14"/>
          <w:szCs w:val="14"/>
          <w:color w:val="666666"/>
        </w:rPr>
        <w:t>related to shrinkage and obsolescence, and shipping and handling costs.</w:t>
      </w:r>
    </w:p>
    <w:p>
      <w:pPr>
        <w:spacing w:after="0" w:line="1" w:lineRule="exact"/>
        <w:rPr>
          <w:rFonts w:ascii="Arial" w:cs="Arial" w:eastAsia="Arial" w:hAnsi="Arial"/>
          <w:sz w:val="14"/>
          <w:szCs w:val="14"/>
          <w:b w:val="1"/>
          <w:bCs w:val="1"/>
          <w:color w:val="666666"/>
        </w:rPr>
      </w:pPr>
    </w:p>
    <w:p>
      <w:pPr>
        <w:ind w:left="340" w:right="200"/>
        <w:spacing w:after="0" w:line="273" w:lineRule="auto"/>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Selling, general and administrative expenses </w:t>
      </w:r>
      <w:r>
        <w:rPr>
          <w:rFonts w:ascii="Arial" w:cs="Arial" w:eastAsia="Arial" w:hAnsi="Arial"/>
          <w:sz w:val="14"/>
          <w:szCs w:val="14"/>
          <w:color w:val="666666"/>
        </w:rPr>
        <w:t>- Costs not directly attributable to providing wireless communications and broadband services for the operation of sales,</w:t>
      </w:r>
      <w:r>
        <w:rPr>
          <w:rFonts w:ascii="Arial" w:cs="Arial" w:eastAsia="Arial" w:hAnsi="Arial"/>
          <w:sz w:val="14"/>
          <w:szCs w:val="14"/>
          <w:b w:val="1"/>
          <w:bCs w:val="1"/>
          <w:color w:val="666666"/>
        </w:rPr>
        <w:t xml:space="preserve"> </w:t>
      </w:r>
      <w:r>
        <w:rPr>
          <w:rFonts w:ascii="Arial" w:cs="Arial" w:eastAsia="Arial" w:hAnsi="Arial"/>
          <w:sz w:val="14"/>
          <w:szCs w:val="14"/>
          <w:color w:val="666666"/>
        </w:rPr>
        <w:t>customer care and corporate activities. These include all commissions paid to dealers and retail employees for activations and upgrades, labor and facilities costs associated with retail sales force and administrative space, marketing and promotional costs, customer support and billing, bad debt expense and administrative support activities.</w:t>
      </w:r>
    </w:p>
    <w:p>
      <w:pPr>
        <w:spacing w:after="0" w:line="179" w:lineRule="exact"/>
        <w:rPr>
          <w:rFonts w:ascii="Arial" w:cs="Arial" w:eastAsia="Arial" w:hAnsi="Arial"/>
          <w:sz w:val="14"/>
          <w:szCs w:val="14"/>
          <w:b w:val="1"/>
          <w:bCs w:val="1"/>
          <w:color w:val="666666"/>
        </w:rPr>
      </w:pPr>
    </w:p>
    <w:p>
      <w:pPr>
        <w:ind w:left="340" w:hanging="332"/>
        <w:spacing w:after="0"/>
        <w:tabs>
          <w:tab w:leader="none" w:pos="340"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Net income margin </w:t>
      </w:r>
      <w:r>
        <w:rPr>
          <w:rFonts w:ascii="Arial" w:cs="Arial" w:eastAsia="Arial" w:hAnsi="Arial"/>
          <w:sz w:val="14"/>
          <w:szCs w:val="14"/>
          <w:color w:val="666666"/>
        </w:rPr>
        <w:t>- Net income divided by Service revenues.</w:t>
      </w:r>
    </w:p>
    <w:p>
      <w:pPr>
        <w:spacing w:after="0" w:line="55" w:lineRule="exact"/>
        <w:rPr>
          <w:rFonts w:ascii="Arial" w:cs="Arial" w:eastAsia="Arial" w:hAnsi="Arial"/>
          <w:sz w:val="14"/>
          <w:szCs w:val="14"/>
          <w:b w:val="1"/>
          <w:bCs w:val="1"/>
          <w:color w:val="666666"/>
        </w:rPr>
      </w:pPr>
    </w:p>
    <w:p>
      <w:pPr>
        <w:ind w:left="340" w:right="40" w:hanging="332"/>
        <w:spacing w:after="0" w:line="261"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Adjusted EBITDA and Core Adjusted EBITDA </w:t>
      </w:r>
      <w:r>
        <w:rPr>
          <w:rFonts w:ascii="Arial" w:cs="Arial" w:eastAsia="Arial" w:hAnsi="Arial"/>
          <w:sz w:val="14"/>
          <w:szCs w:val="14"/>
          <w:color w:val="666666"/>
        </w:rPr>
        <w:t>- Adjusted EBITDA represents earnings before Interest expense, net of Interest income, Income tax expense,</w:t>
      </w:r>
      <w:r>
        <w:rPr>
          <w:rFonts w:ascii="Arial" w:cs="Arial" w:eastAsia="Arial" w:hAnsi="Arial"/>
          <w:sz w:val="14"/>
          <w:szCs w:val="14"/>
          <w:b w:val="1"/>
          <w:bCs w:val="1"/>
          <w:color w:val="666666"/>
        </w:rPr>
        <w:t xml:space="preserve"> </w:t>
      </w:r>
      <w:r>
        <w:rPr>
          <w:rFonts w:ascii="Arial" w:cs="Arial" w:eastAsia="Arial" w:hAnsi="Arial"/>
          <w:sz w:val="14"/>
          <w:szCs w:val="14"/>
          <w:color w:val="666666"/>
        </w:rPr>
        <w:t>Depreciation and amortization, stock-based compensation and Special Items. Core Adjusted EBITDA represents Adjusted EBITDA less device lease revenues. Core Adjusted EBITDA and Adjusted EBITDA are non-GAAP financial measures utilized by T-Mobile’s management, including our chief operating decision maker, to monitor the financial performance of our operations and allocate resources of the Company as a whole. T-Mobile historically used Adjusted EBITDA and T-Mobile currently uses Core Adjusted EBITDA internally as a measure to evaluate and compensate its personnel and management for their performance. T-Mobile uses Adjusted EBITDA and Core Adjusted EBITDA as benchmarks to evaluate its operating performance in comparison to competitors. Management believes analysts and investors use Core Adjusted EBITDA and Adjusted EBITDA as supplemental measures to evaluate overall operating performance and to facilitate comparisons with other wireless communications and broadband services companies because they are indicative of T-Mobile’s ongoing operating performance and trends by excluding the impact of Interest expense from financing, depreciation and amortization from capital investments, stock-based compensation and Special Items. Management believes analysts and investors use Core Adjusted EBITDA because it normalizes for the transition in the Company’s device financing strategy, by excluding the impact of device lease revenues from Adjusted EBITDA, to align with the exclusion of the related depreciation expense on leased devices from Adjusted EBITDA. Core Adjusted EBITDA and Adjusted EBITDA have limitations as analytical tools and should not be considered in isolation or as substitutes for Income from operations, Net income or any other measure of financial performance reported in accordance with U.S. Generally Accepted Accounting Principles (“GAAP”).</w:t>
      </w:r>
    </w:p>
    <w:p>
      <w:pPr>
        <w:spacing w:after="0" w:line="18" w:lineRule="exact"/>
        <w:rPr>
          <w:rFonts w:ascii="Arial" w:cs="Arial" w:eastAsia="Arial" w:hAnsi="Arial"/>
          <w:sz w:val="14"/>
          <w:szCs w:val="14"/>
          <w:b w:val="1"/>
          <w:bCs w:val="1"/>
          <w:color w:val="666666"/>
        </w:rPr>
      </w:pPr>
    </w:p>
    <w:p>
      <w:pPr>
        <w:ind w:left="340" w:right="160" w:hanging="332"/>
        <w:spacing w:after="0" w:line="281"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Special Items </w:t>
      </w:r>
      <w:r>
        <w:rPr>
          <w:rFonts w:ascii="Arial" w:cs="Arial" w:eastAsia="Arial" w:hAnsi="Arial"/>
          <w:sz w:val="14"/>
          <w:szCs w:val="14"/>
          <w:color w:val="666666"/>
        </w:rPr>
        <w:t>- Certain expenses, gains, and losses which are not reflective of our ongoing performance. Special Items include UScellular merger-related costs, network</w:t>
      </w:r>
      <w:r>
        <w:rPr>
          <w:rFonts w:ascii="Arial" w:cs="Arial" w:eastAsia="Arial" w:hAnsi="Arial"/>
          <w:sz w:val="14"/>
          <w:szCs w:val="14"/>
          <w:b w:val="1"/>
          <w:bCs w:val="1"/>
          <w:color w:val="666666"/>
        </w:rPr>
        <w:t xml:space="preserve"> </w:t>
      </w:r>
      <w:r>
        <w:rPr>
          <w:rFonts w:ascii="Arial" w:cs="Arial" w:eastAsia="Arial" w:hAnsi="Arial"/>
          <w:sz w:val="14"/>
          <w:szCs w:val="14"/>
          <w:color w:val="666666"/>
        </w:rPr>
        <w:t>restructuring initiative costs (as discussed above), certain legal-related expenses and recoveries, Impairment expense, restructuring costs not directly attributable to the UScellular acquisition (including severance), and other non-core gains and losses.</w:t>
      </w:r>
    </w:p>
    <w:p>
      <w:pPr>
        <w:spacing w:after="0" w:line="1" w:lineRule="exact"/>
        <w:rPr>
          <w:rFonts w:ascii="Arial" w:cs="Arial" w:eastAsia="Arial" w:hAnsi="Arial"/>
          <w:sz w:val="14"/>
          <w:szCs w:val="14"/>
          <w:b w:val="1"/>
          <w:bCs w:val="1"/>
          <w:color w:val="666666"/>
        </w:rPr>
      </w:pPr>
    </w:p>
    <w:p>
      <w:pPr>
        <w:jc w:val="both"/>
        <w:ind w:left="340" w:hanging="332"/>
        <w:spacing w:after="0" w:line="269"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Adjusted EBITDA margin and Core Adjusted EBITDA margin </w:t>
      </w:r>
      <w:r>
        <w:rPr>
          <w:rFonts w:ascii="Arial" w:cs="Arial" w:eastAsia="Arial" w:hAnsi="Arial"/>
          <w:sz w:val="14"/>
          <w:szCs w:val="14"/>
          <w:color w:val="666666"/>
        </w:rPr>
        <w:t>- Adjusted EBITDA margin is calculated as Adjusted EBITDA divided by Service revenues. Core Adjusted</w:t>
      </w:r>
      <w:r>
        <w:rPr>
          <w:rFonts w:ascii="Arial" w:cs="Arial" w:eastAsia="Arial" w:hAnsi="Arial"/>
          <w:sz w:val="14"/>
          <w:szCs w:val="14"/>
          <w:b w:val="1"/>
          <w:bCs w:val="1"/>
          <w:color w:val="666666"/>
        </w:rPr>
        <w:t xml:space="preserve"> </w:t>
      </w:r>
      <w:r>
        <w:rPr>
          <w:rFonts w:ascii="Arial" w:cs="Arial" w:eastAsia="Arial" w:hAnsi="Arial"/>
          <w:sz w:val="14"/>
          <w:szCs w:val="14"/>
          <w:color w:val="666666"/>
        </w:rPr>
        <w:t>EBITDA margin is calculated as Core Adjusted EBITDA divided by Service revenues. Adjusted EBITDA margin and Core Adjusted EBITDA margin are non-GAAP financial measures utilized by T-Mobile’s management, including our chief operating decision maker, to monitor the financial performance of our operations and allocate resources of the Company as a whole.</w:t>
      </w:r>
    </w:p>
    <w:p>
      <w:pPr>
        <w:spacing w:after="0" w:line="7" w:lineRule="exact"/>
        <w:rPr>
          <w:rFonts w:ascii="Arial" w:cs="Arial" w:eastAsia="Arial" w:hAnsi="Arial"/>
          <w:sz w:val="14"/>
          <w:szCs w:val="14"/>
          <w:b w:val="1"/>
          <w:bCs w:val="1"/>
          <w:color w:val="666666"/>
        </w:rPr>
      </w:pPr>
    </w:p>
    <w:p>
      <w:pPr>
        <w:ind w:left="340" w:right="60" w:hanging="332"/>
        <w:spacing w:after="0" w:line="291" w:lineRule="auto"/>
        <w:tabs>
          <w:tab w:leader="none" w:pos="338"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Net cash provided by operating activities margin </w:t>
      </w:r>
      <w:r>
        <w:rPr>
          <w:rFonts w:ascii="Arial" w:cs="Arial" w:eastAsia="Arial" w:hAnsi="Arial"/>
          <w:sz w:val="14"/>
          <w:szCs w:val="14"/>
          <w:color w:val="666666"/>
        </w:rPr>
        <w:t>- Net cash provided by operating activities margin is calculated as Net cash provided by operating activities divided by</w:t>
      </w:r>
      <w:r>
        <w:rPr>
          <w:rFonts w:ascii="Arial" w:cs="Arial" w:eastAsia="Arial" w:hAnsi="Arial"/>
          <w:sz w:val="14"/>
          <w:szCs w:val="14"/>
          <w:b w:val="1"/>
          <w:bCs w:val="1"/>
          <w:color w:val="666666"/>
        </w:rPr>
        <w:t xml:space="preserve"> </w:t>
      </w:r>
      <w:r>
        <w:rPr>
          <w:rFonts w:ascii="Arial" w:cs="Arial" w:eastAsia="Arial" w:hAnsi="Arial"/>
          <w:sz w:val="14"/>
          <w:szCs w:val="14"/>
          <w:color w:val="666666"/>
        </w:rPr>
        <w:t>Service revenues.</w:t>
      </w:r>
    </w:p>
    <w:p>
      <w:pPr>
        <w:spacing w:after="0" w:line="1" w:lineRule="exact"/>
        <w:rPr>
          <w:rFonts w:ascii="Arial" w:cs="Arial" w:eastAsia="Arial" w:hAnsi="Arial"/>
          <w:sz w:val="14"/>
          <w:szCs w:val="14"/>
          <w:b w:val="1"/>
          <w:bCs w:val="1"/>
          <w:color w:val="666666"/>
        </w:rPr>
      </w:pPr>
    </w:p>
    <w:p>
      <w:pPr>
        <w:ind w:left="340" w:right="20" w:hanging="332"/>
        <w:spacing w:after="0" w:line="281" w:lineRule="auto"/>
        <w:tabs>
          <w:tab w:leader="none" w:pos="337"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Adjusted Free Cash Flow </w:t>
      </w:r>
      <w:r>
        <w:rPr>
          <w:rFonts w:ascii="Arial" w:cs="Arial" w:eastAsia="Arial" w:hAnsi="Arial"/>
          <w:sz w:val="14"/>
          <w:szCs w:val="14"/>
          <w:color w:val="666666"/>
        </w:rPr>
        <w:t>- Net cash provided by operating activities less cash payments for purchases of property and equipment, including capitalized interest. Adjusted</w:t>
      </w:r>
      <w:r>
        <w:rPr>
          <w:rFonts w:ascii="Arial" w:cs="Arial" w:eastAsia="Arial" w:hAnsi="Arial"/>
          <w:sz w:val="14"/>
          <w:szCs w:val="14"/>
          <w:b w:val="1"/>
          <w:bCs w:val="1"/>
          <w:color w:val="666666"/>
        </w:rPr>
        <w:t xml:space="preserve"> </w:t>
      </w:r>
      <w:r>
        <w:rPr>
          <w:rFonts w:ascii="Arial" w:cs="Arial" w:eastAsia="Arial" w:hAnsi="Arial"/>
          <w:sz w:val="14"/>
          <w:szCs w:val="14"/>
          <w:color w:val="666666"/>
        </w:rPr>
        <w:t>Free Cash Flow is utilized by T-Mobile’s management, investors, and analysts of our financial information to evaluate cash available to pay debt, repurchase shares, pay dividends and provide further investment in the business.</w:t>
      </w:r>
    </w:p>
    <w:p>
      <w:pPr>
        <w:spacing w:after="0" w:line="1" w:lineRule="exact"/>
        <w:rPr>
          <w:rFonts w:ascii="Arial" w:cs="Arial" w:eastAsia="Arial" w:hAnsi="Arial"/>
          <w:sz w:val="14"/>
          <w:szCs w:val="14"/>
          <w:b w:val="1"/>
          <w:bCs w:val="1"/>
          <w:color w:val="666666"/>
        </w:rPr>
      </w:pPr>
    </w:p>
    <w:p>
      <w:pPr>
        <w:ind w:left="340" w:right="40" w:hanging="332"/>
        <w:spacing w:after="0" w:line="273" w:lineRule="auto"/>
        <w:tabs>
          <w:tab w:leader="none" w:pos="329"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Adjusted Free Cash Flow margin </w:t>
      </w:r>
      <w:r>
        <w:rPr>
          <w:rFonts w:ascii="Arial" w:cs="Arial" w:eastAsia="Arial" w:hAnsi="Arial"/>
          <w:sz w:val="14"/>
          <w:szCs w:val="14"/>
          <w:color w:val="666666"/>
        </w:rPr>
        <w:t>- Adjusted Free Cash Flow margin is calculated as Adjusted Free Cash Flow divided by Service revenues. Adjusted Free Cash Flow</w:t>
      </w:r>
      <w:r>
        <w:rPr>
          <w:rFonts w:ascii="Arial" w:cs="Arial" w:eastAsia="Arial" w:hAnsi="Arial"/>
          <w:sz w:val="14"/>
          <w:szCs w:val="14"/>
          <w:b w:val="1"/>
          <w:bCs w:val="1"/>
          <w:color w:val="666666"/>
        </w:rPr>
        <w:t xml:space="preserve"> </w:t>
      </w:r>
      <w:r>
        <w:rPr>
          <w:rFonts w:ascii="Arial" w:cs="Arial" w:eastAsia="Arial" w:hAnsi="Arial"/>
          <w:sz w:val="14"/>
          <w:szCs w:val="14"/>
          <w:color w:val="666666"/>
        </w:rPr>
        <w:t>margin is utilized by T-Mobile’s management, investors, and analysts to evaluate the company’s ability to convert service revenue efficiently into cash available to pay debt, repurchase shares, pay dividends and provide further investment in the business.</w:t>
      </w:r>
    </w:p>
    <w:p>
      <w:pPr>
        <w:spacing w:after="0" w:line="17" w:lineRule="exact"/>
        <w:rPr>
          <w:rFonts w:ascii="Arial" w:cs="Arial" w:eastAsia="Arial" w:hAnsi="Arial"/>
          <w:sz w:val="14"/>
          <w:szCs w:val="14"/>
          <w:b w:val="1"/>
          <w:bCs w:val="1"/>
          <w:color w:val="666666"/>
        </w:rPr>
      </w:pPr>
    </w:p>
    <w:p>
      <w:pPr>
        <w:ind w:left="340" w:right="100" w:hanging="332"/>
        <w:spacing w:after="0" w:line="281" w:lineRule="auto"/>
        <w:tabs>
          <w:tab w:leader="none" w:pos="337"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Net debt </w:t>
      </w:r>
      <w:r>
        <w:rPr>
          <w:rFonts w:ascii="Arial" w:cs="Arial" w:eastAsia="Arial" w:hAnsi="Arial"/>
          <w:sz w:val="14"/>
          <w:szCs w:val="14"/>
          <w:color w:val="666666"/>
        </w:rPr>
        <w:t>- Short-term debt, long-term debt (excluding tower obligations), and long-term debt to affiliates, short-term financing lease liabilities and financing lease liabilities,</w:t>
      </w:r>
      <w:r>
        <w:rPr>
          <w:rFonts w:ascii="Arial" w:cs="Arial" w:eastAsia="Arial" w:hAnsi="Arial"/>
          <w:sz w:val="14"/>
          <w:szCs w:val="14"/>
          <w:b w:val="1"/>
          <w:bCs w:val="1"/>
          <w:color w:val="666666"/>
        </w:rPr>
        <w:t xml:space="preserve"> </w:t>
      </w:r>
      <w:r>
        <w:rPr>
          <w:rFonts w:ascii="Arial" w:cs="Arial" w:eastAsia="Arial" w:hAnsi="Arial"/>
          <w:sz w:val="14"/>
          <w:szCs w:val="14"/>
          <w:color w:val="666666"/>
        </w:rPr>
        <w:t>less cash and cash equivalents.</w:t>
      </w:r>
    </w:p>
    <w:p>
      <w:pPr>
        <w:spacing w:after="0" w:line="1" w:lineRule="exact"/>
        <w:rPr>
          <w:rFonts w:ascii="Arial" w:cs="Arial" w:eastAsia="Arial" w:hAnsi="Arial"/>
          <w:sz w:val="14"/>
          <w:szCs w:val="14"/>
          <w:b w:val="1"/>
          <w:bCs w:val="1"/>
          <w:color w:val="666666"/>
        </w:rPr>
      </w:pPr>
    </w:p>
    <w:p>
      <w:pPr>
        <w:ind w:left="320" w:hanging="312"/>
        <w:spacing w:after="0"/>
        <w:tabs>
          <w:tab w:leader="none" w:pos="320" w:val="left"/>
        </w:tabs>
        <w:numPr>
          <w:ilvl w:val="0"/>
          <w:numId w:val="48"/>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Net payments for merger-related costs </w:t>
      </w:r>
      <w:r>
        <w:rPr>
          <w:rFonts w:ascii="Arial" w:cs="Arial" w:eastAsia="Arial" w:hAnsi="Arial"/>
          <w:sz w:val="14"/>
          <w:szCs w:val="14"/>
          <w:color w:val="666666"/>
        </w:rPr>
        <w:t>include net cash payments for Sprint merger-related costs and UScellular merger-related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40575" cy="4711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0575" cy="47117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6" w:name="page37"/>
    <w:bookmarkEnd w:id="36"/>
    <w:p>
      <w:pPr>
        <w:ind w:left="10632"/>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28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25</w:t>
      </w:r>
    </w:p>
    <w:p>
      <w:pPr>
        <w:spacing w:after="0" w:line="200" w:lineRule="exact"/>
        <w:rPr>
          <w:sz w:val="20"/>
          <w:szCs w:val="20"/>
          <w:color w:val="auto"/>
        </w:rPr>
      </w:pPr>
    </w:p>
    <w:p>
      <w:pPr>
        <w:spacing w:after="0" w:line="250" w:lineRule="exact"/>
        <w:rPr>
          <w:sz w:val="20"/>
          <w:szCs w:val="20"/>
          <w:color w:val="auto"/>
        </w:rPr>
      </w:pPr>
    </w:p>
    <w:p>
      <w:pPr>
        <w:ind w:left="312" w:hanging="312"/>
        <w:spacing w:after="0"/>
        <w:tabs>
          <w:tab w:leader="none" w:pos="312" w:val="left"/>
        </w:tabs>
        <w:numPr>
          <w:ilvl w:val="0"/>
          <w:numId w:val="49"/>
        </w:numPr>
        <w:rPr>
          <w:rFonts w:ascii="Arial" w:cs="Arial" w:eastAsia="Arial" w:hAnsi="Arial"/>
          <w:sz w:val="14"/>
          <w:szCs w:val="14"/>
          <w:b w:val="1"/>
          <w:bCs w:val="1"/>
          <w:color w:val="666666"/>
        </w:rPr>
      </w:pPr>
      <w:r>
        <w:rPr>
          <w:rFonts w:ascii="Arial" w:cs="Arial" w:eastAsia="Arial" w:hAnsi="Arial"/>
          <w:sz w:val="14"/>
          <w:szCs w:val="14"/>
          <w:b w:val="1"/>
          <w:bCs w:val="1"/>
          <w:color w:val="666666"/>
        </w:rPr>
        <w:t xml:space="preserve">UScellular merger-related costs </w:t>
      </w:r>
      <w:r>
        <w:rPr>
          <w:rFonts w:ascii="Arial" w:cs="Arial" w:eastAsia="Arial" w:hAnsi="Arial"/>
          <w:sz w:val="14"/>
          <w:szCs w:val="14"/>
          <w:color w:val="666666"/>
        </w:rPr>
        <w:t>to date include:</w:t>
      </w:r>
    </w:p>
    <w:p>
      <w:pPr>
        <w:spacing w:after="0" w:line="41" w:lineRule="exact"/>
        <w:rPr>
          <w:rFonts w:ascii="Arial" w:cs="Arial" w:eastAsia="Arial" w:hAnsi="Arial"/>
          <w:sz w:val="14"/>
          <w:szCs w:val="14"/>
          <w:b w:val="1"/>
          <w:bCs w:val="1"/>
          <w:color w:val="666666"/>
        </w:rPr>
      </w:pPr>
    </w:p>
    <w:p>
      <w:pPr>
        <w:ind w:left="652" w:hanging="328"/>
        <w:spacing w:after="0" w:line="261" w:lineRule="auto"/>
        <w:tabs>
          <w:tab w:leader="none" w:pos="648" w:val="left"/>
        </w:tabs>
        <w:numPr>
          <w:ilvl w:val="1"/>
          <w:numId w:val="49"/>
        </w:numPr>
        <w:rPr>
          <w:rFonts w:ascii="Arial" w:cs="Arial" w:eastAsia="Arial" w:hAnsi="Arial"/>
          <w:sz w:val="14"/>
          <w:szCs w:val="14"/>
          <w:color w:val="666666"/>
        </w:rPr>
      </w:pPr>
      <w:r>
        <w:rPr>
          <w:rFonts w:ascii="Arial" w:cs="Arial" w:eastAsia="Arial" w:hAnsi="Arial"/>
          <w:sz w:val="14"/>
          <w:szCs w:val="14"/>
          <w:color w:val="666666"/>
        </w:rPr>
        <w:t>Integration costs to achieve efficiencies in network, retail, information technology and back office operations and migrate customers to the T-Mobile network and billing systems;</w:t>
      </w:r>
    </w:p>
    <w:p>
      <w:pPr>
        <w:ind w:left="652" w:hanging="328"/>
        <w:spacing w:after="0"/>
        <w:tabs>
          <w:tab w:leader="none" w:pos="652" w:val="left"/>
        </w:tabs>
        <w:numPr>
          <w:ilvl w:val="1"/>
          <w:numId w:val="49"/>
        </w:numPr>
        <w:rPr>
          <w:rFonts w:ascii="Arial" w:cs="Arial" w:eastAsia="Arial" w:hAnsi="Arial"/>
          <w:sz w:val="14"/>
          <w:szCs w:val="14"/>
          <w:color w:val="666666"/>
        </w:rPr>
      </w:pPr>
      <w:r>
        <w:rPr>
          <w:rFonts w:ascii="Arial" w:cs="Arial" w:eastAsia="Arial" w:hAnsi="Arial"/>
          <w:sz w:val="14"/>
          <w:szCs w:val="14"/>
          <w:color w:val="666666"/>
        </w:rPr>
        <w:t>Restructuring costs, including contract terminations, severance and network decommissioning; and</w:t>
      </w:r>
    </w:p>
    <w:p>
      <w:pPr>
        <w:spacing w:after="0" w:line="29" w:lineRule="exact"/>
        <w:rPr>
          <w:rFonts w:ascii="Arial" w:cs="Arial" w:eastAsia="Arial" w:hAnsi="Arial"/>
          <w:sz w:val="14"/>
          <w:szCs w:val="14"/>
          <w:color w:val="666666"/>
        </w:rPr>
      </w:pPr>
    </w:p>
    <w:p>
      <w:pPr>
        <w:ind w:left="652" w:hanging="328"/>
        <w:spacing w:after="0"/>
        <w:tabs>
          <w:tab w:leader="none" w:pos="652" w:val="left"/>
        </w:tabs>
        <w:numPr>
          <w:ilvl w:val="1"/>
          <w:numId w:val="49"/>
        </w:numPr>
        <w:rPr>
          <w:rFonts w:ascii="Arial" w:cs="Arial" w:eastAsia="Arial" w:hAnsi="Arial"/>
          <w:sz w:val="14"/>
          <w:szCs w:val="14"/>
          <w:color w:val="666666"/>
        </w:rPr>
      </w:pPr>
      <w:r>
        <w:rPr>
          <w:rFonts w:ascii="Arial" w:cs="Arial" w:eastAsia="Arial" w:hAnsi="Arial"/>
          <w:sz w:val="14"/>
          <w:szCs w:val="14"/>
          <w:color w:val="666666"/>
        </w:rPr>
        <w:t>Transaction costs, including legal and professional services related to the completion of the UScellular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40575" cy="4718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11212"/>
          </w:cols>
          <w:pgMar w:left="328" w:top="285" w:right="359" w:bottom="1440" w:gutter="0" w:footer="0" w:header="0"/>
        </w:sectPr>
      </w:pPr>
    </w:p>
    <w:bookmarkStart w:id="37" w:name="page38"/>
    <w:bookmarkEnd w:id="37"/>
    <w:p>
      <w:pPr>
        <w:ind w:left="10640"/>
        <w:spacing w:after="0"/>
        <w:rPr>
          <w:sz w:val="20"/>
          <w:szCs w:val="20"/>
          <w:color w:val="auto"/>
        </w:rPr>
      </w:pPr>
      <w:r>
        <w:rPr>
          <w:rFonts w:ascii="Arial" w:cs="Arial" w:eastAsia="Arial" w:hAnsi="Arial"/>
          <w:sz w:val="32"/>
          <w:szCs w:val="32"/>
          <w:b w:val="1"/>
          <w:bCs w:val="1"/>
          <w:color w:val="E20074"/>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286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Cautionary Statement Regarding Forward-Looking Statements</w:t>
      </w:r>
    </w:p>
    <w:p>
      <w:pPr>
        <w:spacing w:after="0" w:line="244"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666666"/>
        </w:rPr>
        <w:t>This communication includes forward-looking statements within the meaning of the Private Securities Litigation Reform Act of 1995. All statements other than statements of historical fact, including information concerning T-Mobile US, Inc.’s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and may cause actual results to differ materially from the forward-looking statements. Important factors that could</w:t>
      </w:r>
    </w:p>
    <w:p>
      <w:pPr>
        <w:spacing w:after="0" w:line="2"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666666"/>
        </w:rPr>
        <w:t>affect future results and cause those results to differ materially from those expressed in the forward-looking statements include, among others, the following: competition, industry consolidation and changes in the market for wireless communications services and other forms of connectivity; cyberattacks, disruptions, data loss or other security</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666666"/>
        </w:rPr>
        <w:t>breaches; our inability to adopt and deploy network technologies in a timely and effective manner; our inability to effectively execute our digital initiatives and drive customer and employee adoption of emerging technologies; our inability to retain or motivate key personnel, hire qualified personnel or maintain our corporate culture; system failures and business disruptions, allowing for unauthorized use of or interference with our network and other systems; the scarcity and cost of additional wireless spectrum, and regulations relating to spectrum use; the timing and effects of any pending and future acquisition, investment, joint venture, merger or divestiture involving us, including our inability to obtain any required regulatory approval necessary to consummate any such transactions or to achieve the expected benefits of such transactions; adverse economic, political or market conditions in the U.S. and international markets, including changes resulting from increases in oil prices, inflation or interest rates, tariffs and trade restrictions, supply chain disruptions, fluctuations in global currencies, immigration policies, and impacts of geopolitical instability, such as global conflict, wars and further escalations thereof; operational delays, higher procurement costs, such as memory chip cost impacts on smartphones, and operational costs, and increased regulatory and compliance complexities, for example, as a result of changes to trade policies, including higher tariffs, restrictions and other economic disincentives to trade; our inability to successfully deliver new products and services; any failure or inability of our third parties (including key suppliers) to provide products or services for the operation of our business; sociopolitical volatility and polarization and risks related to environmental, social and governance matters; our substantial level of indebtedness and our inability to service our debt obligations in accordance with their terms; changes in the credit market conditions, credit rating downgrades or an inability to access debt markets; our inability to maintain effective internal control over financial reporting; compliance with the current regulatory framework, including our national security obligations, and any changes in regulations or in the regulatory framework under which we operate; laws and regulations relating to the handling of privacy, data protection and artificial intelligence; unfavorable outcomes of</w:t>
      </w:r>
    </w:p>
    <w:p>
      <w:pPr>
        <w:spacing w:after="0" w:line="5"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666666"/>
        </w:rPr>
        <w:t>and increased costs from existing or future regulatory or legal proceedings; difficulties in protecting our intellectual property rights or if we infringe on the intellectual property rights of others; our offering of regulated financial services products and exposure to a wide variety of state and federal regulations; new or amended tax laws or regulations or</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666666"/>
        </w:rPr>
        <w:t>administrative interpretations and judicial decisions affecting the scope or application of tax laws or regulations; our wireless licenses, including those controlled through leasing agreements, are subject to renewal and may be revoked; our exclusive forum provision as provided in our Certificate of Incorporation; interests of Deutsche Telekom AG (“DT”), our controlling stockholder, which may differ from the interests of other stockholders; our current and future stockholder return programs may not be fully utilized, and our share repurchases and dividend payments pursuant thereto may fail to have the desired impact on stockholder value; future sales of our common stock by DT and our inability to attract additional equity financing outside the United States due to foreign ownership limitations by the Federal Communications Commission; and other risks as disclosed in our most recent annual report on Form 10-K, and subsequent Forms 10-Q and other filings with the Securities and Exchange Commission. Given these risks and uncertainties, readers are cautioned not to place undue reliance on such forward-looking statements. We undertake no obligation to revise or publicly release the results of any revision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About T-Mobile US, Inc.</w:t>
      </w:r>
    </w:p>
    <w:p>
      <w:pPr>
        <w:spacing w:after="0" w:line="244"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666666"/>
        </w:rPr>
        <w:t>As the supercharged Un-carrier, T-Mobile US, Inc. (NASDAQ: TMUS) is powered by an award-winning nationwide 5G Advanced network that connects more people, in more places, than ever before. With T-Mobile’s unique value proposition of best network, best value and best experiences, the Un-carrier is redefining connectivity and fueling competition while continuing to drive the next wave of innovation in wireless, broadband and beyond. Headquartered in Bellevue, Wash., T-Mobile provides services through its subsidiaries and operates its flagship brands, T-Mobile, Metro by T-Mobile and Mint Mobile. For more information, visit https://www.t-mobile.com.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40575" cy="4718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sectPr>
      <w:pgSz w:w="11900" w:h="16838" w:orient="portrait"/>
      <w:cols w:equalWidth="0" w:num="1">
        <w:col w:w="11220"/>
      </w:cols>
      <w:pgMar w:left="320" w:top="2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lvl w:ilvl="1">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2026-10-28T15:07:01Z</dcterms:created>
  <dcterms:modified xsi:type="dcterms:W3CDTF">2026-10-28T15:07:01Z</dcterms:modified>
</cp:coreProperties>
</file>