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55079d8k.htm"/>
      <w:bookmarkStart w:id="1" w:name="ksd155079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September 1,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933575" cy="447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33575" cy="447675"/>
                    </a:xfrm>
                    <a:prstGeom prst="rect">
                      <a:avLst/>
                    </a:prstGeom>
                  </pic:spPr>
                </pic:pic>
              </a:graphicData>
            </a:graphic>
          </wp:inline>
        </w:drawing>
      </w:r>
    </w:p>
    <w:p>
      <w:pPr>
        <w:pStyle w:val="TextBody"/>
        <w:bidi w:val="0"/>
        <w:spacing w:before="0" w:after="0"/>
        <w:jc w:val="center"/>
        <w:rPr>
          <w:rFonts w:ascii="Times New Roman" w:hAnsi="Times New Roman"/>
          <w:b/>
          <w:sz w:val="48"/>
        </w:rPr>
      </w:pPr>
      <w:r>
        <w:rPr>
          <w:rFonts w:ascii="Times New Roman" w:hAnsi="Times New Roman"/>
          <w:b/>
          <w:sz w:val="48"/>
        </w:rPr>
        <w:t xml:space="preserve">T-MOBILE US,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455" w:type="dxa"/>
        <w:jc w:val="left"/>
        <w:tblInd w:w="0" w:type="dxa"/>
        <w:tblLayout w:type="fixed"/>
        <w:tblCellMar>
          <w:top w:w="0" w:type="dxa"/>
          <w:left w:w="0" w:type="dxa"/>
          <w:bottom w:w="0" w:type="dxa"/>
          <w:right w:w="0" w:type="dxa"/>
        </w:tblCellMar>
      </w:tblPr>
      <w:tblGrid>
        <w:gridCol w:w="1985"/>
        <w:gridCol w:w="60"/>
        <w:gridCol w:w="980"/>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b/>
              </w:rPr>
            </w:pPr>
            <w:r>
              <w:rPr>
                <w:b/>
              </w:rPr>
              <w:t>1-33409</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20-0836269</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12920 SE 38th Street</w:t>
      </w:r>
    </w:p>
    <w:p>
      <w:pPr>
        <w:pStyle w:val="TextBody"/>
        <w:bidi w:val="0"/>
        <w:spacing w:before="0" w:after="0"/>
        <w:jc w:val="center"/>
        <w:rPr>
          <w:rFonts w:ascii="Times New Roman" w:hAnsi="Times New Roman"/>
          <w:b/>
          <w:sz w:val="20"/>
        </w:rPr>
      </w:pPr>
      <w:r>
        <w:rPr>
          <w:rFonts w:ascii="Times New Roman" w:hAnsi="Times New Roman"/>
          <w:b/>
          <w:sz w:val="20"/>
        </w:rPr>
        <w:t>Bellevue, Washington</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w:t>
      </w:r>
    </w:p>
    <w:p>
      <w:pPr>
        <w:pStyle w:val="TextBody"/>
        <w:bidi w:val="0"/>
        <w:spacing w:before="240" w:after="0"/>
        <w:jc w:val="center"/>
        <w:rPr>
          <w:rFonts w:ascii="Times New Roman" w:hAnsi="Times New Roman"/>
          <w:b/>
          <w:sz w:val="20"/>
        </w:rPr>
      </w:pPr>
      <w:r>
        <w:rPr>
          <w:rFonts w:ascii="Times New Roman" w:hAnsi="Times New Roman"/>
          <w:b/>
          <w:sz w:val="20"/>
        </w:rPr>
        <w:t>98006-1350</w:t>
      </w:r>
    </w:p>
    <w:p>
      <w:pPr>
        <w:pStyle w:val="TextBody"/>
        <w:bidi w:val="0"/>
        <w:spacing w:before="0" w:after="0"/>
        <w:jc w:val="center"/>
        <w:rPr>
          <w:rFonts w:ascii="Times New Roman" w:hAnsi="Times New Roman"/>
          <w:b/>
          <w:sz w:val="16"/>
        </w:rPr>
      </w:pPr>
      <w:r>
        <w:rPr>
          <w:rFonts w:ascii="Times New Roman" w:hAnsi="Times New Roman"/>
          <w:b/>
          <w:sz w:val="16"/>
        </w:rPr>
        <w:t>(Zip Code)</w:t>
      </w:r>
    </w:p>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(425) 378-4000</w:t>
      </w:r>
    </w:p>
    <w:p>
      <w:pPr>
        <w:pStyle w:val="TextBody"/>
        <w:bidi w:val="0"/>
        <w:spacing w:before="240" w:after="0"/>
        <w:jc w:val="center"/>
        <w:rPr>
          <w:rFonts w:ascii="Times New Roman" w:hAnsi="Times New Roman"/>
          <w:b/>
          <w:sz w:val="20"/>
        </w:rPr>
      </w:pPr>
      <w:r>
        <w:rPr>
          <w:rFonts w:ascii="Times New Roman" w:hAnsi="Times New Roman"/>
          <w:b/>
          <w:sz w:val="20"/>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985" w:type="dxa"/>
        <w:jc w:val="left"/>
        <w:tblInd w:w="0" w:type="dxa"/>
        <w:tblLayout w:type="fixed"/>
        <w:tblCellMar>
          <w:top w:w="0" w:type="dxa"/>
          <w:left w:w="0" w:type="dxa"/>
          <w:bottom w:w="0" w:type="dxa"/>
          <w:right w:w="0" w:type="dxa"/>
        </w:tblCellMar>
      </w:tblPr>
      <w:tblGrid>
        <w:gridCol w:w="4385"/>
        <w:gridCol w:w="60"/>
        <w:gridCol w:w="1115"/>
        <w:gridCol w:w="60"/>
        <w:gridCol w:w="3365"/>
      </w:tblGrid>
      <w:tr>
        <w:trPr/>
        <w:tc>
          <w:tcPr>
            <w:tcW w:w="4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65" w:type="dxa"/>
            <w:tcBorders/>
            <w:vAlign w:val="center"/>
          </w:tcPr>
          <w:p>
            <w:pPr>
              <w:pStyle w:val="TableContents"/>
              <w:bidi w:val="0"/>
              <w:spacing w:before="0" w:after="283"/>
              <w:jc w:val="left"/>
              <w:rPr>
                <w:sz w:val="4"/>
                <w:szCs w:val="4"/>
              </w:rPr>
            </w:pPr>
            <w:r>
              <w:rPr>
                <w:sz w:val="4"/>
                <w:szCs w:val="4"/>
              </w:rPr>
            </w:r>
          </w:p>
        </w:tc>
      </w:tr>
      <w:tr>
        <w:trPr/>
        <w:tc>
          <w:tcPr>
            <w:tcW w:w="438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111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36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385" w:type="dxa"/>
            <w:tcBorders/>
            <w:vAlign w:val="center"/>
          </w:tcPr>
          <w:p>
            <w:pPr>
              <w:pStyle w:val="TableContents"/>
              <w:bidi w:val="0"/>
              <w:spacing w:before="0" w:after="283"/>
              <w:jc w:val="center"/>
              <w:rPr/>
            </w:pPr>
            <w:r>
              <w:rPr/>
              <w:t>Common Stock, par value $0.00001 per share</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TMUS</w:t>
            </w:r>
          </w:p>
        </w:tc>
        <w:tc>
          <w:tcPr>
            <w:tcW w:w="60" w:type="dxa"/>
            <w:tcBorders/>
            <w:vAlign w:val="center"/>
          </w:tcPr>
          <w:p>
            <w:pPr>
              <w:pStyle w:val="TableContents"/>
              <w:bidi w:val="0"/>
              <w:spacing w:before="0" w:after="283"/>
              <w:jc w:val="left"/>
              <w:rPr/>
            </w:pPr>
            <w:r>
              <w:rPr/>
              <w:t> </w:t>
            </w:r>
          </w:p>
        </w:tc>
        <w:tc>
          <w:tcPr>
            <w:tcW w:w="3365" w:type="dxa"/>
            <w:tcBorders/>
            <w:vAlign w:val="center"/>
          </w:tcPr>
          <w:p>
            <w:pPr>
              <w:pStyle w:val="TableContents"/>
              <w:bidi w:val="0"/>
              <w:spacing w:before="0" w:after="283"/>
              <w:jc w:val="center"/>
              <w:rPr/>
            </w:pPr>
            <w:r>
              <w:rPr/>
              <w:t>The NASDAQ Stock Market LLC</w:t>
            </w:r>
          </w:p>
        </w:tc>
      </w:tr>
      <w:tr>
        <w:trPr/>
        <w:tc>
          <w:tcPr>
            <w:tcW w:w="4385" w:type="dxa"/>
            <w:tcBorders/>
            <w:vAlign w:val="center"/>
          </w:tcPr>
          <w:p>
            <w:pPr>
              <w:pStyle w:val="TableContents"/>
              <w:bidi w:val="0"/>
              <w:spacing w:before="0" w:after="283"/>
              <w:jc w:val="center"/>
              <w:rPr/>
            </w:pPr>
            <w:r>
              <w:rPr/>
              <w:t>3.550% Senior Notes due 2029</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TMUS29</w:t>
            </w:r>
          </w:p>
        </w:tc>
        <w:tc>
          <w:tcPr>
            <w:tcW w:w="60" w:type="dxa"/>
            <w:tcBorders/>
            <w:vAlign w:val="center"/>
          </w:tcPr>
          <w:p>
            <w:pPr>
              <w:pStyle w:val="TableContents"/>
              <w:bidi w:val="0"/>
              <w:spacing w:before="0" w:after="283"/>
              <w:jc w:val="left"/>
              <w:rPr/>
            </w:pPr>
            <w:r>
              <w:rPr/>
              <w:t> </w:t>
            </w:r>
          </w:p>
        </w:tc>
        <w:tc>
          <w:tcPr>
            <w:tcW w:w="3365" w:type="dxa"/>
            <w:tcBorders/>
            <w:vAlign w:val="center"/>
          </w:tcPr>
          <w:p>
            <w:pPr>
              <w:pStyle w:val="TableContents"/>
              <w:bidi w:val="0"/>
              <w:spacing w:before="0" w:after="283"/>
              <w:jc w:val="center"/>
              <w:rPr/>
            </w:pPr>
            <w:r>
              <w:rPr/>
              <w:t>The NASDAQ Stock Market LLC</w:t>
            </w:r>
          </w:p>
        </w:tc>
      </w:tr>
      <w:tr>
        <w:trPr/>
        <w:tc>
          <w:tcPr>
            <w:tcW w:w="4385" w:type="dxa"/>
            <w:tcBorders/>
            <w:vAlign w:val="center"/>
          </w:tcPr>
          <w:p>
            <w:pPr>
              <w:pStyle w:val="TableContents"/>
              <w:bidi w:val="0"/>
              <w:spacing w:before="0" w:after="283"/>
              <w:jc w:val="center"/>
              <w:rPr/>
            </w:pPr>
            <w:r>
              <w:rPr/>
              <w:t>3.700% Senior Notes due 2032</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TMUS32</w:t>
            </w:r>
          </w:p>
        </w:tc>
        <w:tc>
          <w:tcPr>
            <w:tcW w:w="60" w:type="dxa"/>
            <w:tcBorders/>
            <w:vAlign w:val="center"/>
          </w:tcPr>
          <w:p>
            <w:pPr>
              <w:pStyle w:val="TableContents"/>
              <w:bidi w:val="0"/>
              <w:spacing w:before="0" w:after="283"/>
              <w:jc w:val="left"/>
              <w:rPr/>
            </w:pPr>
            <w:r>
              <w:rPr/>
              <w:t> </w:t>
            </w:r>
          </w:p>
        </w:tc>
        <w:tc>
          <w:tcPr>
            <w:tcW w:w="3365" w:type="dxa"/>
            <w:tcBorders/>
            <w:vAlign w:val="center"/>
          </w:tcPr>
          <w:p>
            <w:pPr>
              <w:pStyle w:val="TableContents"/>
              <w:bidi w:val="0"/>
              <w:spacing w:before="0" w:after="283"/>
              <w:jc w:val="center"/>
              <w:rPr/>
            </w:pPr>
            <w:r>
              <w:rPr/>
              <w:t>The NASDAQ Stock Market LLC</w:t>
            </w:r>
          </w:p>
        </w:tc>
      </w:tr>
      <w:tr>
        <w:trPr/>
        <w:tc>
          <w:tcPr>
            <w:tcW w:w="4385" w:type="dxa"/>
            <w:tcBorders/>
            <w:vAlign w:val="center"/>
          </w:tcPr>
          <w:p>
            <w:pPr>
              <w:pStyle w:val="TableContents"/>
              <w:bidi w:val="0"/>
              <w:spacing w:before="0" w:after="283"/>
              <w:jc w:val="center"/>
              <w:rPr/>
            </w:pPr>
            <w:r>
              <w:rPr/>
              <w:t>3.150% Senior Notes due 2032</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TMUS32A</w:t>
            </w:r>
          </w:p>
        </w:tc>
        <w:tc>
          <w:tcPr>
            <w:tcW w:w="60" w:type="dxa"/>
            <w:tcBorders/>
            <w:vAlign w:val="center"/>
          </w:tcPr>
          <w:p>
            <w:pPr>
              <w:pStyle w:val="TableContents"/>
              <w:bidi w:val="0"/>
              <w:spacing w:before="0" w:after="283"/>
              <w:jc w:val="left"/>
              <w:rPr/>
            </w:pPr>
            <w:r>
              <w:rPr/>
              <w:t> </w:t>
            </w:r>
          </w:p>
        </w:tc>
        <w:tc>
          <w:tcPr>
            <w:tcW w:w="3365" w:type="dxa"/>
            <w:tcBorders/>
            <w:vAlign w:val="center"/>
          </w:tcPr>
          <w:p>
            <w:pPr>
              <w:pStyle w:val="TableContents"/>
              <w:bidi w:val="0"/>
              <w:spacing w:before="0" w:after="283"/>
              <w:jc w:val="center"/>
              <w:rPr/>
            </w:pPr>
            <w:r>
              <w:rPr/>
              <w:t>The NASDAQ Stock Market LLC</w:t>
            </w:r>
          </w:p>
        </w:tc>
      </w:tr>
      <w:tr>
        <w:trPr/>
        <w:tc>
          <w:tcPr>
            <w:tcW w:w="4385" w:type="dxa"/>
            <w:tcBorders/>
            <w:vAlign w:val="center"/>
          </w:tcPr>
          <w:p>
            <w:pPr>
              <w:pStyle w:val="TableContents"/>
              <w:bidi w:val="0"/>
              <w:spacing w:before="0" w:after="283"/>
              <w:jc w:val="center"/>
              <w:rPr/>
            </w:pPr>
            <w:r>
              <w:rPr/>
              <w:t>3.200% Senior Notes due 2032</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TMUS32B</w:t>
            </w:r>
          </w:p>
        </w:tc>
        <w:tc>
          <w:tcPr>
            <w:tcW w:w="60" w:type="dxa"/>
            <w:tcBorders/>
            <w:vAlign w:val="center"/>
          </w:tcPr>
          <w:p>
            <w:pPr>
              <w:pStyle w:val="TableContents"/>
              <w:bidi w:val="0"/>
              <w:spacing w:before="0" w:after="283"/>
              <w:jc w:val="left"/>
              <w:rPr/>
            </w:pPr>
            <w:r>
              <w:rPr/>
              <w:t> </w:t>
            </w:r>
          </w:p>
        </w:tc>
        <w:tc>
          <w:tcPr>
            <w:tcW w:w="3365" w:type="dxa"/>
            <w:tcBorders/>
            <w:vAlign w:val="center"/>
          </w:tcPr>
          <w:p>
            <w:pPr>
              <w:pStyle w:val="TableContents"/>
              <w:bidi w:val="0"/>
              <w:spacing w:before="0" w:after="283"/>
              <w:jc w:val="center"/>
              <w:rPr/>
            </w:pPr>
            <w:r>
              <w:rPr/>
              <w:t>The NASDAQ Stock Market LLC</w:t>
            </w:r>
          </w:p>
        </w:tc>
      </w:tr>
      <w:tr>
        <w:trPr/>
        <w:tc>
          <w:tcPr>
            <w:tcW w:w="4385" w:type="dxa"/>
            <w:tcBorders/>
            <w:vAlign w:val="center"/>
          </w:tcPr>
          <w:p>
            <w:pPr>
              <w:pStyle w:val="TableContents"/>
              <w:bidi w:val="0"/>
              <w:spacing w:before="0" w:after="283"/>
              <w:jc w:val="center"/>
              <w:rPr/>
            </w:pPr>
            <w:r>
              <w:rPr/>
              <w:t>3.625% Senior Notes due 2035</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TMUS35</w:t>
            </w:r>
          </w:p>
        </w:tc>
        <w:tc>
          <w:tcPr>
            <w:tcW w:w="60" w:type="dxa"/>
            <w:tcBorders/>
            <w:vAlign w:val="center"/>
          </w:tcPr>
          <w:p>
            <w:pPr>
              <w:pStyle w:val="TableContents"/>
              <w:bidi w:val="0"/>
              <w:spacing w:before="0" w:after="283"/>
              <w:jc w:val="left"/>
              <w:rPr/>
            </w:pPr>
            <w:r>
              <w:rPr/>
              <w:t> </w:t>
            </w:r>
          </w:p>
        </w:tc>
        <w:tc>
          <w:tcPr>
            <w:tcW w:w="3365" w:type="dxa"/>
            <w:tcBorders/>
            <w:vAlign w:val="center"/>
          </w:tcPr>
          <w:p>
            <w:pPr>
              <w:pStyle w:val="TableContents"/>
              <w:bidi w:val="0"/>
              <w:spacing w:before="0" w:after="283"/>
              <w:jc w:val="center"/>
              <w:rPr/>
            </w:pPr>
            <w:r>
              <w:rPr/>
              <w:t>The NASDAQ Stock Market LLC</w:t>
            </w:r>
          </w:p>
        </w:tc>
      </w:tr>
      <w:tr>
        <w:trPr/>
        <w:tc>
          <w:tcPr>
            <w:tcW w:w="4385" w:type="dxa"/>
            <w:tcBorders/>
            <w:vAlign w:val="center"/>
          </w:tcPr>
          <w:p>
            <w:pPr>
              <w:pStyle w:val="TableContents"/>
              <w:bidi w:val="0"/>
              <w:spacing w:before="0" w:after="283"/>
              <w:jc w:val="center"/>
              <w:rPr/>
            </w:pPr>
            <w:r>
              <w:rPr/>
              <w:t>3.850% Senior Notes due 2036</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TMUS36</w:t>
            </w:r>
          </w:p>
        </w:tc>
        <w:tc>
          <w:tcPr>
            <w:tcW w:w="60" w:type="dxa"/>
            <w:tcBorders/>
            <w:vAlign w:val="center"/>
          </w:tcPr>
          <w:p>
            <w:pPr>
              <w:pStyle w:val="TableContents"/>
              <w:bidi w:val="0"/>
              <w:spacing w:before="0" w:after="283"/>
              <w:jc w:val="left"/>
              <w:rPr/>
            </w:pPr>
            <w:r>
              <w:rPr/>
              <w:t> </w:t>
            </w:r>
          </w:p>
        </w:tc>
        <w:tc>
          <w:tcPr>
            <w:tcW w:w="3365" w:type="dxa"/>
            <w:tcBorders/>
            <w:vAlign w:val="center"/>
          </w:tcPr>
          <w:p>
            <w:pPr>
              <w:pStyle w:val="TableContents"/>
              <w:bidi w:val="0"/>
              <w:spacing w:before="0" w:after="283"/>
              <w:jc w:val="center"/>
              <w:rPr/>
            </w:pPr>
            <w:r>
              <w:rPr/>
              <w:t>The NASDAQ Stock Market LLC</w:t>
            </w:r>
          </w:p>
        </w:tc>
      </w:tr>
      <w:tr>
        <w:trPr/>
        <w:tc>
          <w:tcPr>
            <w:tcW w:w="4385" w:type="dxa"/>
            <w:tcBorders/>
            <w:vAlign w:val="center"/>
          </w:tcPr>
          <w:p>
            <w:pPr>
              <w:pStyle w:val="TableContents"/>
              <w:bidi w:val="0"/>
              <w:spacing w:before="0" w:after="283"/>
              <w:jc w:val="center"/>
              <w:rPr/>
            </w:pPr>
            <w:r>
              <w:rPr/>
              <w:t>3.500% Senior Notes due 2037</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TMUS37</w:t>
            </w:r>
          </w:p>
        </w:tc>
        <w:tc>
          <w:tcPr>
            <w:tcW w:w="60" w:type="dxa"/>
            <w:tcBorders/>
            <w:vAlign w:val="center"/>
          </w:tcPr>
          <w:p>
            <w:pPr>
              <w:pStyle w:val="TableContents"/>
              <w:bidi w:val="0"/>
              <w:spacing w:before="0" w:after="283"/>
              <w:jc w:val="left"/>
              <w:rPr/>
            </w:pPr>
            <w:r>
              <w:rPr/>
              <w:t> </w:t>
            </w:r>
          </w:p>
        </w:tc>
        <w:tc>
          <w:tcPr>
            <w:tcW w:w="3365" w:type="dxa"/>
            <w:tcBorders/>
            <w:vAlign w:val="center"/>
          </w:tcPr>
          <w:p>
            <w:pPr>
              <w:pStyle w:val="TableContents"/>
              <w:bidi w:val="0"/>
              <w:spacing w:before="0" w:after="283"/>
              <w:jc w:val="center"/>
              <w:rPr/>
            </w:pPr>
            <w:r>
              <w:rPr/>
              <w:t>The NASDAQ Stock Market LLC</w:t>
            </w:r>
          </w:p>
        </w:tc>
      </w:tr>
      <w:tr>
        <w:trPr/>
        <w:tc>
          <w:tcPr>
            <w:tcW w:w="4385" w:type="dxa"/>
            <w:tcBorders/>
            <w:vAlign w:val="center"/>
          </w:tcPr>
          <w:p>
            <w:pPr>
              <w:pStyle w:val="TableContents"/>
              <w:bidi w:val="0"/>
              <w:spacing w:before="0" w:after="283"/>
              <w:jc w:val="center"/>
              <w:rPr/>
            </w:pPr>
            <w:r>
              <w:rPr/>
              <w:t>3.900% Senior Notes due 2038</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TMUS38</w:t>
            </w:r>
          </w:p>
        </w:tc>
        <w:tc>
          <w:tcPr>
            <w:tcW w:w="60" w:type="dxa"/>
            <w:tcBorders/>
            <w:vAlign w:val="center"/>
          </w:tcPr>
          <w:p>
            <w:pPr>
              <w:pStyle w:val="TableContents"/>
              <w:bidi w:val="0"/>
              <w:spacing w:before="0" w:after="283"/>
              <w:jc w:val="left"/>
              <w:rPr/>
            </w:pPr>
            <w:r>
              <w:rPr/>
              <w:t> </w:t>
            </w:r>
          </w:p>
        </w:tc>
        <w:tc>
          <w:tcPr>
            <w:tcW w:w="3365" w:type="dxa"/>
            <w:tcBorders/>
            <w:vAlign w:val="center"/>
          </w:tcPr>
          <w:p>
            <w:pPr>
              <w:pStyle w:val="TableContents"/>
              <w:bidi w:val="0"/>
              <w:spacing w:before="0" w:after="283"/>
              <w:jc w:val="center"/>
              <w:rPr/>
            </w:pPr>
            <w:r>
              <w:rPr/>
              <w:t>The NASDAQ Stock Market LLC</w:t>
            </w:r>
          </w:p>
        </w:tc>
      </w:tr>
      <w:tr>
        <w:trPr/>
        <w:tc>
          <w:tcPr>
            <w:tcW w:w="4385" w:type="dxa"/>
            <w:tcBorders/>
            <w:vAlign w:val="center"/>
          </w:tcPr>
          <w:p>
            <w:pPr>
              <w:pStyle w:val="TableContents"/>
              <w:bidi w:val="0"/>
              <w:spacing w:before="0" w:after="283"/>
              <w:jc w:val="center"/>
              <w:rPr/>
            </w:pPr>
            <w:r>
              <w:rPr/>
              <w:t>3.800% Senior Notes due 2045</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TMUS45</w:t>
            </w:r>
          </w:p>
        </w:tc>
        <w:tc>
          <w:tcPr>
            <w:tcW w:w="60" w:type="dxa"/>
            <w:tcBorders/>
            <w:vAlign w:val="center"/>
          </w:tcPr>
          <w:p>
            <w:pPr>
              <w:pStyle w:val="TableContents"/>
              <w:bidi w:val="0"/>
              <w:spacing w:before="0" w:after="283"/>
              <w:jc w:val="left"/>
              <w:rPr/>
            </w:pPr>
            <w:r>
              <w:rPr/>
              <w:t> </w:t>
            </w:r>
          </w:p>
        </w:tc>
        <w:tc>
          <w:tcPr>
            <w:tcW w:w="3365" w:type="dxa"/>
            <w:tcBorders/>
            <w:vAlign w:val="center"/>
          </w:tcPr>
          <w:p>
            <w:pPr>
              <w:pStyle w:val="TableContents"/>
              <w:bidi w:val="0"/>
              <w:spacing w:before="0" w:after="283"/>
              <w:jc w:val="center"/>
              <w:rPr/>
            </w:pPr>
            <w:r>
              <w:rPr/>
              <w:t>The NASDAQ Stock Market LLC</w:t>
            </w:r>
          </w:p>
        </w:tc>
      </w:tr>
      <w:tr>
        <w:trPr/>
        <w:tc>
          <w:tcPr>
            <w:tcW w:w="4385" w:type="dxa"/>
            <w:tcBorders/>
            <w:vAlign w:val="center"/>
          </w:tcPr>
          <w:p>
            <w:pPr>
              <w:pStyle w:val="TableContents"/>
              <w:bidi w:val="0"/>
              <w:spacing w:before="0" w:after="283"/>
              <w:jc w:val="center"/>
              <w:rPr/>
            </w:pPr>
            <w:r>
              <w:rPr/>
              <w:t>6.250% Senior Notes due 2069</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TMUSL</w:t>
            </w:r>
          </w:p>
        </w:tc>
        <w:tc>
          <w:tcPr>
            <w:tcW w:w="60" w:type="dxa"/>
            <w:tcBorders/>
            <w:vAlign w:val="center"/>
          </w:tcPr>
          <w:p>
            <w:pPr>
              <w:pStyle w:val="TableContents"/>
              <w:bidi w:val="0"/>
              <w:spacing w:before="0" w:after="283"/>
              <w:jc w:val="left"/>
              <w:rPr/>
            </w:pPr>
            <w:r>
              <w:rPr/>
              <w:t> </w:t>
            </w:r>
          </w:p>
        </w:tc>
        <w:tc>
          <w:tcPr>
            <w:tcW w:w="3365" w:type="dxa"/>
            <w:tcBorders/>
            <w:vAlign w:val="center"/>
          </w:tcPr>
          <w:p>
            <w:pPr>
              <w:pStyle w:val="TableContents"/>
              <w:bidi w:val="0"/>
              <w:spacing w:before="0" w:after="283"/>
              <w:jc w:val="center"/>
              <w:rPr/>
            </w:pPr>
            <w:r>
              <w:rPr/>
              <w:t>The NASDAQ Stock Market LLC</w:t>
            </w:r>
          </w:p>
        </w:tc>
      </w:tr>
      <w:tr>
        <w:trPr/>
        <w:tc>
          <w:tcPr>
            <w:tcW w:w="4385" w:type="dxa"/>
            <w:tcBorders/>
            <w:vAlign w:val="center"/>
          </w:tcPr>
          <w:p>
            <w:pPr>
              <w:pStyle w:val="TableContents"/>
              <w:bidi w:val="0"/>
              <w:spacing w:before="0" w:after="283"/>
              <w:jc w:val="center"/>
              <w:rPr/>
            </w:pPr>
            <w:r>
              <w:rPr/>
              <w:t>5.500% Senior Notes due March 2070</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TMUSZ</w:t>
            </w:r>
          </w:p>
        </w:tc>
        <w:tc>
          <w:tcPr>
            <w:tcW w:w="60" w:type="dxa"/>
            <w:tcBorders/>
            <w:vAlign w:val="center"/>
          </w:tcPr>
          <w:p>
            <w:pPr>
              <w:pStyle w:val="TableContents"/>
              <w:bidi w:val="0"/>
              <w:spacing w:before="0" w:after="283"/>
              <w:jc w:val="left"/>
              <w:rPr/>
            </w:pPr>
            <w:r>
              <w:rPr/>
              <w:t> </w:t>
            </w:r>
          </w:p>
        </w:tc>
        <w:tc>
          <w:tcPr>
            <w:tcW w:w="3365" w:type="dxa"/>
            <w:tcBorders/>
            <w:vAlign w:val="center"/>
          </w:tcPr>
          <w:p>
            <w:pPr>
              <w:pStyle w:val="TableContents"/>
              <w:bidi w:val="0"/>
              <w:spacing w:before="0" w:after="283"/>
              <w:jc w:val="center"/>
              <w:rPr/>
            </w:pPr>
            <w:r>
              <w:rPr/>
              <w:t>The NASDAQ Stock Market LLC</w:t>
            </w:r>
          </w:p>
        </w:tc>
      </w:tr>
      <w:tr>
        <w:trPr/>
        <w:tc>
          <w:tcPr>
            <w:tcW w:w="4385" w:type="dxa"/>
            <w:tcBorders/>
            <w:vAlign w:val="center"/>
          </w:tcPr>
          <w:p>
            <w:pPr>
              <w:pStyle w:val="TableContents"/>
              <w:bidi w:val="0"/>
              <w:spacing w:before="0" w:after="283"/>
              <w:jc w:val="center"/>
              <w:rPr/>
            </w:pPr>
            <w:r>
              <w:rPr/>
              <w:t>5.500% Senior Notes due June 2070</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TMUSI</w:t>
            </w:r>
          </w:p>
        </w:tc>
        <w:tc>
          <w:tcPr>
            <w:tcW w:w="60" w:type="dxa"/>
            <w:tcBorders/>
            <w:vAlign w:val="center"/>
          </w:tcPr>
          <w:p>
            <w:pPr>
              <w:pStyle w:val="TableContents"/>
              <w:bidi w:val="0"/>
              <w:spacing w:before="0" w:after="283"/>
              <w:jc w:val="left"/>
              <w:rPr/>
            </w:pPr>
            <w:r>
              <w:rPr/>
              <w:t> </w:t>
            </w:r>
          </w:p>
        </w:tc>
        <w:tc>
          <w:tcPr>
            <w:tcW w:w="3365" w:type="dxa"/>
            <w:tcBorders/>
            <w:vAlign w:val="center"/>
          </w:tcPr>
          <w:p>
            <w:pPr>
              <w:pStyle w:val="TableContents"/>
              <w:bidi w:val="0"/>
              <w:spacing w:before="0" w:after="283"/>
              <w:jc w:val="center"/>
              <w:rPr/>
            </w:pPr>
            <w:r>
              <w:rPr/>
              <w:t>The NASDAQ Stock Market LLC</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844"/>
        <w:gridCol w:w="9361"/>
      </w:tblGrid>
      <w:tr>
        <w:trPr/>
        <w:tc>
          <w:tcPr>
            <w:tcW w:w="844" w:type="dxa"/>
            <w:tcBorders/>
            <w:vAlign w:val="center"/>
          </w:tcPr>
          <w:p>
            <w:pPr>
              <w:pStyle w:val="TableContents"/>
              <w:bidi w:val="0"/>
              <w:spacing w:before="0" w:after="283"/>
              <w:jc w:val="left"/>
              <w:rPr>
                <w:b/>
              </w:rPr>
            </w:pPr>
            <w:r>
              <w:rPr>
                <w:b/>
              </w:rPr>
              <w:t>Item 5.02</w:t>
            </w:r>
          </w:p>
        </w:tc>
        <w:tc>
          <w:tcPr>
            <w:tcW w:w="936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September 3, 2026, T-Mobile US, Inc. (“T-Mobile” or the “Company”) announced that Peter Osvaldik, Chief Financial Officer of the Company, would retire from his role as Chief Financial Officer in February 2027. Mr. Osvaldik will remain as the Company’s Strategic Advisor through July 1, 2027, which is the end of his previously announced contract extension, to aid in the extended transition of responsibilities. T-Mobile expects that Jessica Uhl, who will commence employment as the Company’s Chief Financial Officer Designate in mid-September 2026, will serve as Chief Financial Officer upon Mr. Osvaldik’s retirement. </w:t>
      </w:r>
    </w:p>
    <w:p>
      <w:pPr>
        <w:pStyle w:val="TextBody"/>
        <w:bidi w:val="0"/>
        <w:spacing w:before="240" w:after="0"/>
        <w:jc w:val="left"/>
        <w:rPr>
          <w:rFonts w:ascii="Times New Roman" w:hAnsi="Times New Roman"/>
          <w:sz w:val="20"/>
        </w:rPr>
      </w:pPr>
      <w:r>
        <w:rPr>
          <w:rFonts w:ascii="Times New Roman" w:hAnsi="Times New Roman"/>
          <w:sz w:val="20"/>
        </w:rPr>
        <w:t xml:space="preserve">Ms. Uhl, age 58, served as President of GE Vernova from January 2024 to May 2025. From March 2017 to March 2022, she served as Chief Financial Officer of Shell plc. Prior to that, Ms. Uhl held various finance leadership positions at Shell plc beginning in 2004, including Executive Vice President of Finance for Integrated Gas and Upstream Americas. In addition, Ms. Uhl currently serves on the boards of Fervo Energy, RMI, formerly Rocky Mountain Institute, OpenMinds, Inc. and Mission Possible Partnership. She also serves on the Global Leadership Council of the Global Energy Alliance for People and Planet, as an advisory board member for the Columbia Center on Global Energy Policy, and as a Senior Advisor with Three Cairns Group. Ms. Uhl previously served on the boards of Shell plc, Goldman Sachs and General Electric and as a strategic advisor to Breakthrough Energy. Ms. Uhl received a Bachelor’s degree in Political Economy from the University of California, Berkeley and a Master of Business Administration degree from INSEAD. </w:t>
      </w:r>
    </w:p>
    <w:p>
      <w:pPr>
        <w:pStyle w:val="TextBody"/>
        <w:bidi w:val="0"/>
        <w:spacing w:before="360" w:after="0"/>
        <w:jc w:val="left"/>
        <w:rPr>
          <w:rFonts w:ascii="Times New Roman" w:hAnsi="Times New Roman"/>
          <w:b/>
          <w:i/>
          <w:sz w:val="20"/>
        </w:rPr>
      </w:pPr>
      <w:r>
        <w:rPr>
          <w:rFonts w:ascii="Times New Roman" w:hAnsi="Times New Roman"/>
          <w:b/>
          <w:i/>
          <w:sz w:val="20"/>
        </w:rPr>
        <w:t xml:space="preserve">Offer of Employment Letter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Ms. Uhl’s commencement of employment as Chief Financial Officer Designate, on September 1, 2026, T-Mobile entered into an offer of employment letter (the “Offer Letter”) with Ms. Uhl, which provides for Ms. Uhl’s initial employment as Chief Financial Officer Designate, transitioning to the Company’s Chief Financial Officer after the Company files its Annual Report on Form 10-K for the year ending December 31, 2026. The material terms of the Offer Letter are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Offer Letter, Ms. Uhl is entitled to (i) an annual base salary of no less than $975,000; (ii) an annual short-term cash incentive (“STI”) award targeted at no less than 200% of Ms. Uhl’s eligible earnings during the applicable calendar year, payable based on the attainment of pre-established performance goals; (iii) commencing with calendar year 2027, annual long-term incentive (“LTI”) awards with an aggregate target grant-date value of no less than $9,525,000; and (iv) employee benefits to the same extent and on the same terms as such benefits are provided generally by the Company to its similarly-situated executives. Ms. Uhl is also eligible for a one-time cash sign-on bonus in the amount of $1,000,000, payable within 60 days after her employment commences and subject to pro-rata repayment in the event that Ms. Uhl’s employment is terminated by the Company for “cause” or by Ms. Uhl without “good reason” within 12 months following the date on which her employment commences.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connection with her commencement of employment with the Company, Ms. Uhl will be granted one-time LTI awards under the Company’s 2023 Incentive Award Plan with an aggregate target grant-date value equal to $9,525,000, consisting of (i) time-based restricted stock units with an aggregate grant-date value equal to $6,350,000 (the “Sign-On RSU Award”) and (ii) performance-based restricted stock units with an aggregate target grant-date value equal to $3,175,000 (the “Sign-On PRSU Award”). The number of shares of T-Mobile common stock subject to the Sign-On RSU Award and Sign-On PRSU Award will be equal to (x) the aggregate target grant-date value thereof divided by (y) the average closing price of the Company’s common stock over the 30-calendar-day period ending five business days before grant date, rounded up to the nearest whole unit.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Ms. Uhl’s employment under the Offer Letter will continue until terminated by either the Company or Ms. Uhl. If Ms. Uhl’s employment is terminated by T-Mobile without “cause” (other than due to her death or disability) or by Ms. Uhl for “good reason”, then, subject to her timely execution and non-revocation of a release of claims and continued compliance with applicable restrictive covenants, she will be entitled to receive: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lump-sum payment equal to two times the sum of (i) her then-current base salary plus (ii) her then-current target STI award;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pro-rata STI award for the calendar year in which the termination occurs, based on actual performance results for such year;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earned, unpaid STI award for the calendar year ending immediately prior to the calendar year in which the termination date occurs (a “Prior Year STI”);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time-based LTI awards (including the Sign-On RSU Award), vesting of a number of shares or units, as applicable, subject to such awards that would otherwise vest on the next scheduled vesting date to occur following the termination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performance-based LTI awards (including the Sign-On PRSU Award), a portion of each performance-based LTI award, determined by multiplying (x) the total number of shares or units, as applicable, subject to such awards by (y) a fraction, the numerator of which is the number of days between the grant date and the termination date, and the denominator of which is the number of days from the grant date to the applicable vesting date, will vest based on actual performance through the conclusion of the applicable performance period; and </w:t>
            </w:r>
          </w:p>
        </w:tc>
      </w:tr>
    </w:tbl>
    <w:p>
      <w:pPr>
        <w:pStyle w:val="TextBody"/>
        <w:bidi w:val="0"/>
        <w:spacing w:before="0" w:after="0"/>
        <w:jc w:val="left"/>
        <w:rPr/>
      </w:pPr>
      <w:r>
        <w:rPr/>
        <w:t> </w:t>
      </w:r>
    </w:p>
    <w:tbl>
      <w:tblPr>
        <w:tblW w:w="8320" w:type="dxa"/>
        <w:jc w:val="left"/>
        <w:tblInd w:w="0" w:type="dxa"/>
        <w:tblLayout w:type="fixed"/>
        <w:tblCellMar>
          <w:top w:w="0" w:type="dxa"/>
          <w:left w:w="0" w:type="dxa"/>
          <w:bottom w:w="0" w:type="dxa"/>
          <w:right w:w="0" w:type="dxa"/>
        </w:tblCellMar>
      </w:tblPr>
      <w:tblGrid>
        <w:gridCol w:w="75"/>
        <w:gridCol w:w="110"/>
        <w:gridCol w:w="60"/>
        <w:gridCol w:w="80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Company-paid health and dental benefit coverage for up to 12 months following such termination.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Ms. Uhl’s employment is terminated due to her death or disability, subject to the timely execution and non-revocation of a release by Ms. Uhl or her estate, as applicable, and continued compliance with applicable restrictive covenants (if applicable), she (or her estate) will be entitled to receive: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STI award for the calendar year in which the termination occurs, based on target performance for the applicable fiscal year; </w:t>
            </w:r>
          </w:p>
        </w:tc>
      </w:tr>
    </w:tbl>
    <w:p>
      <w:pPr>
        <w:pStyle w:val="TextBody"/>
        <w:bidi w:val="0"/>
        <w:spacing w:before="0" w:after="0"/>
        <w:jc w:val="left"/>
        <w:rPr/>
      </w:pPr>
      <w:r>
        <w:rPr/>
        <w:t> </w:t>
      </w:r>
    </w:p>
    <w:tbl>
      <w:tblPr>
        <w:tblW w:w="2215" w:type="dxa"/>
        <w:jc w:val="left"/>
        <w:tblInd w:w="0" w:type="dxa"/>
        <w:tblLayout w:type="fixed"/>
        <w:tblCellMar>
          <w:top w:w="0" w:type="dxa"/>
          <w:left w:w="0" w:type="dxa"/>
          <w:bottom w:w="0" w:type="dxa"/>
          <w:right w:w="0" w:type="dxa"/>
        </w:tblCellMar>
      </w:tblPr>
      <w:tblGrid>
        <w:gridCol w:w="75"/>
        <w:gridCol w:w="110"/>
        <w:gridCol w:w="60"/>
        <w:gridCol w:w="19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Prior Year STI;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LTI awards, vesting of such LTI awards will be governed by the terms of the applicable equity incentive plan and the applicable award agreement, which terms shall be no less favorable than those applicable to all other executive-level employees of T-Mobile.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Additionally, the Offer Letter provides that Ms. Uhl will enter into a retirement letter agreement (the “Retirement Letter Agreement”), pursuant to which she will be eligible to receive certain payments and benefits upon her “qualifying retirement” on or after the fifth anniversary after she commences service as the Company’s Chief Financial Officer and upon at least 12 months’ written notice to the Company. The material terms of the Retirement Letter Agreement were described in the Company’s Current Report on Form 8-K filed with the Securities and Exchange Commission on December 9, 2025, which is incorporated herein by reference.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addition, (i) the incentive compensation provided to Ms. Uhl under the Offer Letter is subject to recovery by the Company in accordance with the Company’s Amended and Restated Executive Incentive Compensation Recoupment Policy or any other Company clawback or recoupment policy; and (ii) to the extent that any payment or benefit received by Ms. Uhl pursuant to the Offer Letter or otherwise would be subject to an excise tax under Internal Revenue Code Section 4999, such payments and/or benefits will be subject to a “best pay cap” reduction if such reduction would result in a greater net after-tax benefit to Ms. Uhl than receiving the full amount of such payments.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is qualified in its entirety by the full text of the Offer Letter, a copy of which will be subsequently filed with the Securities and Exchange Commission. </w:t>
      </w:r>
    </w:p>
    <w:p>
      <w:pPr>
        <w:pStyle w:val="TextBody"/>
        <w:bidi w:val="0"/>
        <w:spacing w:before="0" w:after="0"/>
        <w:jc w:val="left"/>
        <w:rPr/>
      </w:pPr>
      <w:r>
        <w:rPr/>
        <w:t> </w:t>
      </w:r>
    </w:p>
    <w:tbl>
      <w:tblPr>
        <w:tblW w:w="3250" w:type="dxa"/>
        <w:jc w:val="left"/>
        <w:tblInd w:w="0" w:type="dxa"/>
        <w:tblLayout w:type="fixed"/>
        <w:tblCellMar>
          <w:top w:w="0" w:type="dxa"/>
          <w:left w:w="0" w:type="dxa"/>
          <w:bottom w:w="0" w:type="dxa"/>
          <w:right w:w="0" w:type="dxa"/>
        </w:tblCellMar>
      </w:tblPr>
      <w:tblGrid>
        <w:gridCol w:w="965"/>
        <w:gridCol w:w="2285"/>
      </w:tblGrid>
      <w:tr>
        <w:trPr/>
        <w:tc>
          <w:tcPr>
            <w:tcW w:w="96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September 3, 2026, the Company issued a press release announcing [the Chief Financial Officer transition]. A copy of the press release is attached hereto as Exhibit 99.1 and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contained in Item 7.01,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a filing.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9325" w:type="dxa"/>
        <w:jc w:val="left"/>
        <w:tblInd w:w="0" w:type="dxa"/>
        <w:tblLayout w:type="fixed"/>
        <w:tblCellMar>
          <w:top w:w="0" w:type="dxa"/>
          <w:left w:w="0" w:type="dxa"/>
          <w:bottom w:w="0" w:type="dxa"/>
          <w:right w:w="0" w:type="dxa"/>
        </w:tblCellMar>
      </w:tblPr>
      <w:tblGrid>
        <w:gridCol w:w="560"/>
        <w:gridCol w:w="120"/>
        <w:gridCol w:w="8645"/>
      </w:tblGrid>
      <w:tr>
        <w:trPr/>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645" w:type="dxa"/>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bidi w:val="0"/>
              <w:spacing w:before="0" w:after="20"/>
              <w:jc w:val="center"/>
              <w:rPr>
                <w:rFonts w:ascii="Times New Roman" w:hAnsi="Times New Roman"/>
                <w:b/>
                <w:sz w:val="16"/>
              </w:rPr>
            </w:pPr>
            <w:r>
              <w:rPr>
                <w:rFonts w:ascii="Times New Roman" w:hAnsi="Times New Roman"/>
                <w:b/>
                <w:sz w:val="16"/>
              </w:rPr>
              <w:t>No.</w:t>
            </w:r>
          </w:p>
        </w:tc>
        <w:tc>
          <w:tcPr>
            <w:tcW w:w="120" w:type="dxa"/>
            <w:tcBorders/>
            <w:vAlign w:val="center"/>
          </w:tcPr>
          <w:p>
            <w:pPr>
              <w:pStyle w:val="TableContents"/>
              <w:bidi w:val="0"/>
              <w:spacing w:before="0" w:after="283"/>
              <w:jc w:val="left"/>
              <w:rPr/>
            </w:pPr>
            <w:r>
              <w:rPr/>
              <w:t>  </w:t>
            </w:r>
          </w:p>
        </w:tc>
        <w:tc>
          <w:tcPr>
            <w:tcW w:w="8645" w:type="dxa"/>
            <w:tcBorders/>
            <w:vAlign w:val="center"/>
          </w:tcPr>
          <w:p>
            <w:pPr>
              <w:pStyle w:val="TableContents"/>
              <w:bidi w:val="0"/>
              <w:spacing w:before="0" w:after="283"/>
              <w:jc w:val="left"/>
              <w:rPr>
                <w:b/>
              </w:rPr>
            </w:pPr>
            <w:r>
              <w:rPr>
                <w:b/>
              </w:rPr>
              <w:t>Description</w:t>
            </w:r>
          </w:p>
        </w:tc>
      </w:tr>
      <w:tr>
        <w:trPr/>
        <w:tc>
          <w:tcPr>
            <w:tcW w:w="560" w:type="dxa"/>
            <w:tcBorders/>
            <w:vAlign w:val="center"/>
          </w:tcPr>
          <w:p>
            <w:pPr>
              <w:pStyle w:val="TableContents"/>
              <w:bidi w:val="0"/>
              <w:spacing w:before="0" w:after="283"/>
              <w:jc w:val="left"/>
              <w:rPr>
                <w:sz w:val="4"/>
                <w:szCs w:val="4"/>
              </w:rPr>
            </w:pPr>
            <w:r>
              <w:rPr>
                <w:sz w:val="4"/>
                <w:szCs w:val="4"/>
              </w:rPr>
            </w:r>
          </w:p>
        </w:tc>
        <w:tc>
          <w:tcPr>
            <w:tcW w:w="876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8645" w:type="dxa"/>
            <w:tcBorders/>
            <w:vAlign w:val="center"/>
          </w:tcPr>
          <w:p>
            <w:pPr>
              <w:pStyle w:val="TableContents"/>
              <w:bidi w:val="0"/>
              <w:spacing w:before="0" w:after="283"/>
              <w:jc w:val="left"/>
              <w:rPr/>
            </w:pPr>
            <w:hyperlink w:anchor="d155079dex991.htm">
              <w:r>
                <w:rPr>
                  <w:rStyle w:val="InternetLink"/>
                </w:rPr>
                <w:t xml:space="preserve">Press Release, dated September 3, 2026.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876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8645" w:type="dxa"/>
            <w:tcBorders/>
            <w:vAlign w:val="center"/>
          </w:tcPr>
          <w:p>
            <w:pPr>
              <w:pStyle w:val="TableContents"/>
              <w:bidi w:val="0"/>
              <w:spacing w:before="0" w:after="283"/>
              <w:jc w:val="left"/>
              <w:rPr/>
            </w:pPr>
            <w:r>
              <w:rPr/>
              <w:t>Cover Page Interactive Data File (formatted as inline XBRL and contained in Exhibit 101).</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4898" w:type="dxa"/>
        <w:jc w:val="left"/>
        <w:tblInd w:w="0" w:type="dxa"/>
        <w:tblLayout w:type="fixed"/>
        <w:tblCellMar>
          <w:top w:w="0" w:type="dxa"/>
          <w:left w:w="0" w:type="dxa"/>
          <w:bottom w:w="0" w:type="dxa"/>
          <w:right w:w="0" w:type="dxa"/>
        </w:tblCellMar>
      </w:tblPr>
      <w:tblGrid>
        <w:gridCol w:w="1820"/>
        <w:gridCol w:w="60"/>
        <w:gridCol w:w="23"/>
        <w:gridCol w:w="60"/>
        <w:gridCol w:w="650"/>
        <w:gridCol w:w="60"/>
        <w:gridCol w:w="2225"/>
      </w:tblGrid>
      <w:tr>
        <w:trPr/>
        <w:tc>
          <w:tcPr>
            <w:tcW w:w="18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35" w:type="dxa"/>
            <w:gridSpan w:val="3"/>
            <w:tcBorders/>
            <w:vAlign w:val="center"/>
          </w:tcPr>
          <w:p>
            <w:pPr>
              <w:pStyle w:val="TableContents"/>
              <w:bidi w:val="0"/>
              <w:spacing w:before="0" w:after="283"/>
              <w:jc w:val="left"/>
              <w:rPr>
                <w:b/>
              </w:rPr>
            </w:pPr>
            <w:r>
              <w:rPr>
                <w:b/>
              </w:rPr>
              <w:t>T-MOBILE US, INC.</w:t>
            </w:r>
          </w:p>
        </w:tc>
      </w:tr>
      <w:tr>
        <w:trPr/>
        <w:tc>
          <w:tcPr>
            <w:tcW w:w="182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2995" w:type="dxa"/>
            <w:gridSpan w:val="4"/>
            <w:tcBorders/>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283"/>
              <w:jc w:val="left"/>
              <w:rPr/>
            </w:pPr>
            <w:r>
              <w:rPr/>
              <w:t>September 3,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35" w:type="dxa"/>
            <w:gridSpan w:val="3"/>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Peter Osvaldik</w:t>
            </w:r>
          </w:p>
        </w:tc>
      </w:tr>
      <w:tr>
        <w:trPr/>
        <w:tc>
          <w:tcPr>
            <w:tcW w:w="18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Peter Osvaldik</w:t>
            </w:r>
          </w:p>
        </w:tc>
      </w:tr>
      <w:tr>
        <w:trPr/>
        <w:tc>
          <w:tcPr>
            <w:tcW w:w="18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Chief Financial Officer</w:t>
            </w:r>
          </w:p>
        </w:tc>
      </w:tr>
    </w:tbl>
    <w:p>
      <w:pPr>
        <w:pStyle w:val="TextBody"/>
        <w:bidi w:val="0"/>
        <w:spacing w:before="0" w:after="0"/>
        <w:jc w:val="right"/>
        <w:rPr>
          <w:rFonts w:ascii="Times New Roman" w:hAnsi="Times New Roman"/>
          <w:b/>
          <w:sz w:val="20"/>
        </w:rPr>
      </w:pPr>
      <w:bookmarkStart w:id="2" w:name="d155079dex991.htm"/>
      <w:bookmarkStart w:id="3" w:name="ksd155079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457200" cy="4572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57200" cy="4572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lineRule="atLeast" w:line="142" w:before="0" w:after="40"/>
        <w:jc w:val="left"/>
        <w:rPr>
          <w:bdr w:val="single" w:sz="16" w:space="1" w:color="E20074"/>
        </w:rPr>
      </w:pPr>
      <w:r>
        <w:rPr>
          <w:bdr w:val="single" w:sz="16" w:space="1" w:color="E20074"/>
        </w:rPr>
        <w:t> </w:t>
      </w:r>
    </w:p>
    <w:p>
      <w:pPr>
        <w:pStyle w:val="TextBody"/>
        <w:bidi w:val="0"/>
        <w:spacing w:before="40" w:after="0"/>
        <w:jc w:val="center"/>
        <w:rPr>
          <w:rFonts w:ascii="Times New Roman" w:hAnsi="Times New Roman"/>
          <w:b/>
          <w:color w:val="E20074"/>
          <w:sz w:val="24"/>
        </w:rPr>
      </w:pPr>
      <w:r>
        <w:rPr>
          <w:rFonts w:ascii="Times New Roman" w:hAnsi="Times New Roman"/>
          <w:b/>
          <w:color w:val="E20074"/>
          <w:sz w:val="24"/>
        </w:rPr>
        <w:t xml:space="preserve">T-Mobile Announces Planned Chief Financial Officer Transition </w:t>
      </w:r>
    </w:p>
    <w:p>
      <w:pPr>
        <w:pStyle w:val="TextBody"/>
        <w:bidi w:val="0"/>
        <w:spacing w:before="120" w:after="0"/>
        <w:jc w:val="center"/>
        <w:rPr>
          <w:rFonts w:ascii="Times New Roman" w:hAnsi="Times New Roman"/>
          <w:i/>
          <w:sz w:val="20"/>
        </w:rPr>
      </w:pPr>
      <w:r>
        <w:rPr>
          <w:rFonts w:ascii="Times New Roman" w:hAnsi="Times New Roman"/>
          <w:i/>
          <w:sz w:val="20"/>
        </w:rPr>
        <w:t xml:space="preserve">Jessica Uhl Appointed CFO Designate; To Succeed Peter Osvaldik as Chief Financial Officer in February 2027 </w:t>
      </w:r>
    </w:p>
    <w:p>
      <w:pPr>
        <w:pStyle w:val="TextBody"/>
        <w:bidi w:val="0"/>
        <w:spacing w:before="120" w:after="0"/>
        <w:jc w:val="center"/>
        <w:rPr>
          <w:rFonts w:ascii="Times New Roman" w:hAnsi="Times New Roman"/>
          <w:i/>
          <w:sz w:val="20"/>
        </w:rPr>
      </w:pPr>
      <w:r>
        <w:rPr>
          <w:rFonts w:ascii="Times New Roman" w:hAnsi="Times New Roman"/>
          <w:i/>
          <w:sz w:val="20"/>
        </w:rPr>
        <w:t xml:space="preserve">Peter Osvaldik to Continue as CFO Through a Transition Period Before Assuming a Strategic Advisor Role Until His Planned July 1, 2027 Retirement </w:t>
      </w:r>
    </w:p>
    <w:p>
      <w:pPr>
        <w:pStyle w:val="TextBody"/>
        <w:bidi w:val="0"/>
        <w:spacing w:before="240" w:after="0"/>
        <w:jc w:val="left"/>
        <w:rPr>
          <w:rFonts w:ascii="Times New Roman" w:hAnsi="Times New Roman"/>
          <w:sz w:val="20"/>
        </w:rPr>
      </w:pPr>
      <w:r>
        <w:rPr>
          <w:rFonts w:ascii="Times New Roman" w:hAnsi="Times New Roman"/>
          <w:b/>
          <w:sz w:val="20"/>
        </w:rPr>
        <w:t>BELLEVUE, Wash. — Thursday, September</w:t>
      </w:r>
      <w:r>
        <w:rPr>
          <w:rFonts w:ascii="Times New Roman" w:hAnsi="Times New Roman"/>
          <w:sz w:val="20"/>
        </w:rPr>
        <w:t> </w:t>
      </w:r>
      <w:r>
        <w:rPr>
          <w:rFonts w:ascii="Times New Roman" w:hAnsi="Times New Roman"/>
          <w:b/>
          <w:sz w:val="20"/>
        </w:rPr>
        <w:t>3, 2026</w:t>
      </w:r>
      <w:r>
        <w:rPr>
          <w:rFonts w:ascii="Times New Roman" w:hAnsi="Times New Roman"/>
          <w:sz w:val="20"/>
        </w:rPr>
        <w:t xml:space="preserve"> — T-Mobile US, Inc. (NASDAQ: TMUS) today announced that Jessica Uhl will join the company as CFO Designate and succeed Peter Osvaldik as Chief Financial Officer in February 2027, as part of the company’s long-term leadership succession planning. The announcement follows Osvaldik’s previous one-year contract extension to support the CEO transition. </w:t>
      </w:r>
    </w:p>
    <w:p>
      <w:pPr>
        <w:pStyle w:val="TextBody"/>
        <w:bidi w:val="0"/>
        <w:spacing w:before="240" w:after="0"/>
        <w:jc w:val="left"/>
        <w:rPr>
          <w:rFonts w:ascii="Times New Roman" w:hAnsi="Times New Roman"/>
          <w:sz w:val="20"/>
        </w:rPr>
      </w:pPr>
      <w:r>
        <w:rPr>
          <w:rFonts w:ascii="Times New Roman" w:hAnsi="Times New Roman"/>
          <w:sz w:val="20"/>
        </w:rPr>
        <w:t xml:space="preserve">Uhl, former Chief Financial Officer of Shell and most recently President of GE Vernova, will join T-Mobile as CFO Designate effective mid-September. Uhl will work alongside current Chief Financial Officer Peter Osvaldik during an extended transition period and will succeed him as CFO in February 2027. Osvaldik will then assume a Strategic Advisor role until his planned retirement from T-Mobile at the conclusion of his contract on July 1, 2027. </w:t>
      </w:r>
    </w:p>
    <w:p>
      <w:pPr>
        <w:pStyle w:val="TextBody"/>
        <w:bidi w:val="0"/>
        <w:spacing w:before="240" w:after="0"/>
        <w:jc w:val="left"/>
        <w:rPr>
          <w:rFonts w:ascii="Times New Roman" w:hAnsi="Times New Roman"/>
          <w:sz w:val="20"/>
        </w:rPr>
      </w:pPr>
      <w:r>
        <w:rPr>
          <w:rFonts w:ascii="Times New Roman" w:hAnsi="Times New Roman"/>
          <w:sz w:val="20"/>
        </w:rPr>
        <w:t xml:space="preserve">Uhl brings extensive financial and strategic leadership experience from a 30-year career leading large-scale global businesses and prudently allocating capital. As CFO of Shell, one of the world’s largest and most complex enterprises, she oversaw financial strategy, capital markets execution and investor relations across a business operating in more than 70 countries. She developed and led emerging businesses across Shell’s diverse portfolio, spanning infrastructure, commodity and consumer markets. </w:t>
      </w:r>
    </w:p>
    <w:p>
      <w:pPr>
        <w:pStyle w:val="TextBody"/>
        <w:bidi w:val="0"/>
        <w:spacing w:before="240" w:after="0"/>
        <w:jc w:val="left"/>
        <w:rPr>
          <w:rFonts w:ascii="Times New Roman" w:hAnsi="Times New Roman"/>
          <w:sz w:val="20"/>
        </w:rPr>
      </w:pPr>
      <w:r>
        <w:rPr>
          <w:rFonts w:ascii="Times New Roman" w:hAnsi="Times New Roman"/>
          <w:sz w:val="20"/>
        </w:rPr>
        <w:t xml:space="preserve">Most recently, as President of GE Vernova, Uhl oversaw corporate development, strategy, ventures research and development, as well as the company’s generative AI program. Her experience leading through transformation, allocating capital at scale, scaling new businesses and deploying emerging technologies, positions her to partner with T-Mobile’s leadership team as the company advances its next era of disruption, profitable growth and innovation. </w:t>
      </w:r>
    </w:p>
    <w:p>
      <w:pPr>
        <w:pStyle w:val="TextBody"/>
        <w:bidi w:val="0"/>
        <w:spacing w:before="240" w:after="0"/>
        <w:jc w:val="left"/>
        <w:rPr/>
      </w:pPr>
      <w:r>
        <w:rPr/>
        <w:t>“</w:t>
      </w:r>
      <w:r>
        <w:rPr>
          <w:rFonts w:ascii="Times New Roman" w:hAnsi="Times New Roman"/>
          <w:sz w:val="20"/>
        </w:rPr>
        <w:t xml:space="preserve">I am thrilled to welcome Jessica to T-Mobile,” said Srini Gopalan, President and CEO of T-Mobile. “She brings deep financial and strategic acumen, capital allocation expertise and an innovative growth mindset that is a perfect fit for T-Mobile’s next era. Jessica has a distinguished track record leading complex businesses, effectively balancing strategic investments with financial and operational discipline. After a thorough search process, I am confident Jessica is the right leader to help shape our growth agenda as CFO, and I am grateful she and Peter will collaborate through an extended transition period to ensure continuity and a seamless succession.” </w:t>
      </w:r>
    </w:p>
    <w:p>
      <w:pPr>
        <w:pStyle w:val="TextBody"/>
        <w:bidi w:val="0"/>
        <w:spacing w:before="240" w:after="0"/>
        <w:jc w:val="left"/>
        <w:rPr>
          <w:rFonts w:ascii="Times New Roman" w:hAnsi="Times New Roman"/>
          <w:sz w:val="20"/>
        </w:rPr>
      </w:pPr>
      <w:r>
        <w:rPr>
          <w:rFonts w:ascii="Times New Roman" w:hAnsi="Times New Roman"/>
          <w:sz w:val="20"/>
        </w:rPr>
        <w:t xml:space="preserve">Osvaldik joined T-Mobile in 2016 and has served as Chief Financial Officer since 2020. He will continue as CFO through February 2027, when he will assume a Strategic Advisor role until his planned retirement. The transition is designed to provide continuity across T-Mobile’s financial organization, investor and capital markets relationships, and broader strategic priorities, while enabling a seamless transfer of leadership and institutional knowledge. Osvaldik’s tenure as CFO has been defined by disciplined financial stewardship, consistent financial outperformance, and an unwavering commitment to T-Mobile’s mission.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463550" cy="46545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63550" cy="46545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w:t>
      </w:r>
      <w:r>
        <w:rPr>
          <w:rFonts w:ascii="Times New Roman" w:hAnsi="Times New Roman"/>
          <w:sz w:val="20"/>
        </w:rPr>
        <w:t xml:space="preserve">Peter’s legacy at T-Mobile is extraordinary,” added Gopalan. “Over more than a decade with the company, his financial rigor, strategic clarity and care for our mission have helped build T-Mobile into the dynamic, innovative and customer-obsessed company it is today. The strong financial foundation Peter has solidified will help propel T-Mobile into its next chapter of growth and expansion. I am deeply grateful for Peter’s partnership and his continued commitment to T-Mobile, from extending his contract to support my transition to CEO to helping ensure continuity as we welcome Jessica and prepare for our next chapter. We wish him the very best in his well-earned retirement. </w:t>
      </w:r>
    </w:p>
    <w:p>
      <w:pPr>
        <w:pStyle w:val="TextBody"/>
        <w:bidi w:val="0"/>
        <w:spacing w:before="240" w:after="0"/>
        <w:jc w:val="left"/>
        <w:rPr/>
      </w:pPr>
      <w:r>
        <w:rPr/>
        <w:t>“</w:t>
      </w:r>
      <w:r>
        <w:rPr>
          <w:rFonts w:ascii="Times New Roman" w:hAnsi="Times New Roman"/>
          <w:sz w:val="20"/>
        </w:rPr>
        <w:t xml:space="preserve">T-Mobile is entering a period of extraordinary opportunity,” Gopalan concluded. “We have a long growth runway to continue our leadership in consumer wireless by bringing America’s Best Network to more customers in small markets and rural areas and winning network seekers; accelerating our growth beyond consumer wireless to broadband, T-Mobile for Business and new adjacencies; and further strengthening the customer differentiation that defines this company. Jessica will be a critical strategic and operational partner as we execute with focus, scale our ambitions and create lasting value for customers, employees and shareholders.” </w:t>
      </w:r>
    </w:p>
    <w:p>
      <w:pPr>
        <w:pStyle w:val="TextBody"/>
        <w:bidi w:val="0"/>
        <w:spacing w:before="240" w:after="0"/>
        <w:jc w:val="left"/>
        <w:rPr>
          <w:rFonts w:ascii="Times New Roman" w:hAnsi="Times New Roman"/>
          <w:sz w:val="20"/>
        </w:rPr>
      </w:pPr>
      <w:r>
        <w:rPr>
          <w:rFonts w:ascii="Times New Roman" w:hAnsi="Times New Roman"/>
          <w:sz w:val="20"/>
        </w:rPr>
        <w:t xml:space="preserve">T-Mobile reaffirms its previously stated 2026 financial guidance and maintains its capital return program and long-term financial framework. </w:t>
      </w:r>
    </w:p>
    <w:p>
      <w:pPr>
        <w:pStyle w:val="TextBody"/>
        <w:bidi w:val="0"/>
        <w:spacing w:before="360" w:after="0"/>
        <w:jc w:val="left"/>
        <w:rPr>
          <w:rFonts w:ascii="Times New Roman" w:hAnsi="Times New Roman"/>
          <w:b/>
          <w:color w:val="E20074"/>
          <w:sz w:val="20"/>
        </w:rPr>
      </w:pPr>
      <w:r>
        <w:rPr>
          <w:rFonts w:ascii="Times New Roman" w:hAnsi="Times New Roman"/>
          <w:b/>
          <w:color w:val="E20074"/>
          <w:sz w:val="20"/>
        </w:rPr>
        <w:t xml:space="preserve">About T-Mobile US, Inc. </w:t>
      </w:r>
    </w:p>
    <w:p>
      <w:pPr>
        <w:pStyle w:val="TextBody"/>
        <w:bidi w:val="0"/>
        <w:spacing w:before="120" w:after="0"/>
        <w:jc w:val="left"/>
        <w:rPr>
          <w:rFonts w:ascii="Times New Roman" w:hAnsi="Times New Roman"/>
          <w:sz w:val="20"/>
        </w:rPr>
      </w:pPr>
      <w:r>
        <w:rPr>
          <w:rFonts w:ascii="Times New Roman" w:hAnsi="Times New Roman"/>
          <w:sz w:val="20"/>
        </w:rPr>
        <w:t xml:space="preserve">T-Mobile US, Inc. (NASDAQ: TMUS) is America’s supercharged Un-carrier, delivering an advanced 4G LTE and transformative nationwide 5G network that will offer reliable connectivity for all. T-Mobile’s customers benefit from its unmatched combination of value and quality, unwavering obsession with offering them the best possible service experience, and undisputable drive for disruption that creates competition and innovation in wireless, broadband and beyond. Based in Bellevue, Wash., T-Mobile provides services through its subsidiaries and operates its flagship brands, T-Mobile and Metro by T-Mobile. For more information, please visit htt ps://w ww.t-mobile.com. </w:t>
      </w:r>
    </w:p>
    <w:p>
      <w:pPr>
        <w:pStyle w:val="TextBody"/>
        <w:bidi w:val="0"/>
        <w:spacing w:before="0" w:after="0"/>
        <w:jc w:val="left"/>
        <w:rPr/>
      </w:pPr>
      <w:r>
        <w:rPr/>
        <w:t> </w:t>
      </w:r>
    </w:p>
    <w:p>
      <w:pPr>
        <w:pStyle w:val="TextBody"/>
        <w:bidi w:val="0"/>
        <w:spacing w:lineRule="atLeast" w:line="142" w:before="0" w:after="40"/>
        <w:jc w:val="left"/>
        <w:rPr>
          <w:bdr w:val="single" w:sz="16" w:space="1" w:color="E20074"/>
        </w:rPr>
      </w:pPr>
      <w:r>
        <w:rPr>
          <w:bdr w:val="single" w:sz="16" w:space="1" w:color="E20074"/>
        </w:rPr>
        <w:t> </w:t>
      </w:r>
    </w:p>
    <w:p>
      <w:pPr>
        <w:pStyle w:val="TextBody"/>
        <w:bidi w:val="0"/>
        <w:spacing w:before="240" w:after="0"/>
        <w:jc w:val="left"/>
        <w:rPr>
          <w:rFonts w:ascii="Times New Roman" w:hAnsi="Times New Roman"/>
          <w:b/>
          <w:color w:val="E20074"/>
          <w:sz w:val="20"/>
        </w:rPr>
      </w:pPr>
      <w:r>
        <w:rPr>
          <w:rFonts w:ascii="Times New Roman" w:hAnsi="Times New Roman"/>
          <w:b/>
          <w:color w:val="E20074"/>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release includes “forward-looking statements” within the meaning of the U.S. federal securities laws. Any statements that are not historical facts are forward-looking. These forward-looking statements are based on our current expectations, forecasts, and assumptions, and involve a number of risks and uncertainties. Actual results could differ materially from those stated or implied in forward-looking statements. Investors should not place undue reliance on any forward-looking statements. T-Mobile undertakes no obligation to update forward-looking statements as a result of new information, future events, or otherwise. </w:t>
      </w:r>
    </w:p>
    <w:p>
      <w:pPr>
        <w:pStyle w:val="TextBody"/>
        <w:bidi w:val="0"/>
        <w:spacing w:before="0" w:after="0"/>
        <w:jc w:val="left"/>
        <w:rPr/>
      </w:pPr>
      <w:r>
        <w:rPr/>
        <w:t> </w:t>
      </w:r>
    </w:p>
    <w:p>
      <w:pPr>
        <w:pStyle w:val="TextBody"/>
        <w:bidi w:val="0"/>
        <w:spacing w:lineRule="atLeast" w:line="142" w:before="0" w:after="40"/>
        <w:jc w:val="left"/>
        <w:rPr>
          <w:bdr w:val="single" w:sz="16" w:space="1" w:color="E20074"/>
        </w:rPr>
      </w:pPr>
      <w:r>
        <w:rPr>
          <w:bdr w:val="single" w:sz="16" w:space="1" w:color="E20074"/>
        </w:rPr>
        <w:t> </w:t>
      </w:r>
    </w:p>
    <w:p>
      <w:pPr>
        <w:pStyle w:val="TextBody"/>
        <w:bidi w:val="0"/>
        <w:spacing w:before="240" w:after="0"/>
        <w:jc w:val="left"/>
        <w:rPr>
          <w:rFonts w:ascii="Times New Roman" w:hAnsi="Times New Roman"/>
          <w:b/>
          <w:sz w:val="20"/>
        </w:rPr>
      </w:pPr>
      <w:r>
        <w:rPr>
          <w:rFonts w:ascii="Times New Roman" w:hAnsi="Times New Roman"/>
          <w:b/>
          <w:sz w:val="20"/>
        </w:rPr>
        <w:t xml:space="preserve">Investor Relations Contact: </w:t>
      </w:r>
    </w:p>
    <w:p>
      <w:pPr>
        <w:pStyle w:val="TextBody"/>
        <w:bidi w:val="0"/>
        <w:spacing w:before="120" w:after="0"/>
        <w:jc w:val="left"/>
        <w:rPr>
          <w:rFonts w:ascii="Times New Roman" w:hAnsi="Times New Roman"/>
          <w:sz w:val="20"/>
        </w:rPr>
      </w:pPr>
      <w:r>
        <w:rPr>
          <w:rFonts w:ascii="Times New Roman" w:hAnsi="Times New Roman"/>
          <w:sz w:val="20"/>
        </w:rPr>
        <w:t xml:space="preserve">T-Mobile US, Inc. </w:t>
      </w:r>
    </w:p>
    <w:p>
      <w:pPr>
        <w:pStyle w:val="TextBody"/>
        <w:bidi w:val="0"/>
        <w:spacing w:before="0" w:after="0"/>
        <w:jc w:val="left"/>
        <w:rPr>
          <w:rFonts w:ascii="Times New Roman" w:hAnsi="Times New Roman"/>
          <w:sz w:val="20"/>
        </w:rPr>
      </w:pPr>
      <w:r>
        <w:rPr>
          <w:rFonts w:ascii="Times New Roman" w:hAnsi="Times New Roman"/>
          <w:sz w:val="20"/>
        </w:rPr>
        <w:t xml:space="preserve">investor.relations@t-mobile.c om </w:t>
      </w:r>
    </w:p>
    <w:p>
      <w:pPr>
        <w:pStyle w:val="TextBody"/>
        <w:bidi w:val="0"/>
        <w:spacing w:before="0" w:after="0"/>
        <w:jc w:val="left"/>
        <w:rPr>
          <w:rFonts w:ascii="Times New Roman" w:hAnsi="Times New Roman"/>
          <w:sz w:val="20"/>
        </w:rPr>
      </w:pPr>
      <w:r>
        <w:rPr>
          <w:rFonts w:ascii="Times New Roman" w:hAnsi="Times New Roman"/>
          <w:sz w:val="20"/>
        </w:rPr>
        <w:t xml:space="preserve">htt ps://investor.t mobile.com </w:t>
      </w:r>
    </w:p>
    <w:p>
      <w:pPr>
        <w:pStyle w:val="TextBody"/>
        <w:bidi w:val="0"/>
        <w:spacing w:before="360" w:after="0"/>
        <w:jc w:val="left"/>
        <w:rPr>
          <w:rFonts w:ascii="Times New Roman" w:hAnsi="Times New Roman"/>
          <w:b/>
          <w:sz w:val="20"/>
        </w:rPr>
      </w:pPr>
      <w:r>
        <w:rPr>
          <w:rFonts w:ascii="Times New Roman" w:hAnsi="Times New Roman"/>
          <w:b/>
          <w:sz w:val="20"/>
        </w:rPr>
        <w:t xml:space="preserve">Media Contact: </w:t>
      </w:r>
    </w:p>
    <w:p>
      <w:pPr>
        <w:pStyle w:val="TextBody"/>
        <w:bidi w:val="0"/>
        <w:spacing w:before="120" w:after="0"/>
        <w:jc w:val="left"/>
        <w:rPr>
          <w:rFonts w:ascii="Times New Roman" w:hAnsi="Times New Roman"/>
          <w:sz w:val="20"/>
        </w:rPr>
      </w:pPr>
      <w:r>
        <w:rPr>
          <w:rFonts w:ascii="Times New Roman" w:hAnsi="Times New Roman"/>
          <w:sz w:val="20"/>
        </w:rPr>
        <w:t xml:space="preserve">T-Mobile US, Inc. </w:t>
      </w:r>
    </w:p>
    <w:p>
      <w:pPr>
        <w:pStyle w:val="TextBody"/>
        <w:bidi w:val="0"/>
        <w:spacing w:before="0" w:after="0"/>
        <w:jc w:val="left"/>
        <w:rPr>
          <w:rFonts w:ascii="Times New Roman" w:hAnsi="Times New Roman"/>
          <w:sz w:val="20"/>
        </w:rPr>
      </w:pPr>
      <w:r>
        <w:rPr>
          <w:rFonts w:ascii="Times New Roman" w:hAnsi="Times New Roman"/>
          <w:sz w:val="20"/>
        </w:rPr>
        <w:t xml:space="preserve">media.relations@t-mobile.c 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2838</Words>
  <Characters>15733</Characters>
  <CharactersWithSpaces>18577</CharactersWithSpaces>
  <Paragraphs>270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