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33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99"/>
        <w:spacing w:after="0"/>
        <w:rPr>
          <w:sz w:val="20"/>
          <w:szCs w:val="20"/>
          <w:color w:val="auto"/>
        </w:rPr>
      </w:pPr>
      <w:r>
        <w:rPr>
          <w:rFonts w:ascii="Arial" w:cs="Arial" w:eastAsia="Arial" w:hAnsi="Arial"/>
          <w:sz w:val="18"/>
          <w:szCs w:val="18"/>
          <w:b w:val="1"/>
          <w:bCs w:val="1"/>
          <w:color w:val="auto"/>
        </w:rPr>
        <w:t>Registration No. 333-249079</w:t>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3" w:lineRule="exact"/>
        <w:rPr>
          <w:sz w:val="24"/>
          <w:szCs w:val="24"/>
          <w:color w:val="auto"/>
        </w:rPr>
      </w:pPr>
    </w:p>
    <w:tbl>
      <w:tblPr>
        <w:tblLayout w:type="fixed"/>
        <w:tblInd w:w="300" w:type="dxa"/>
        <w:tblCellMar>
          <w:top w:w="0" w:type="dxa"/>
          <w:left w:w="0" w:type="dxa"/>
          <w:bottom w:w="0" w:type="dxa"/>
          <w:right w:w="0" w:type="dxa"/>
        </w:tblCellMar>
      </w:tblPr>
      <w:tr>
        <w:trPr>
          <w:trHeight w:val="244"/>
        </w:trPr>
        <w:tc>
          <w:tcPr>
            <w:tcW w:w="2880" w:type="dxa"/>
            <w:vAlign w:val="bottom"/>
            <w:tcBorders>
              <w:top w:val="single" w:sz="8" w:color="auto"/>
              <w:right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Title of each class of</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 to be</w:t>
            </w:r>
          </w:p>
        </w:tc>
        <w:tc>
          <w:tcPr>
            <w:tcW w:w="1440" w:type="dxa"/>
            <w:vAlign w:val="bottom"/>
            <w:tcBorders>
              <w:top w:val="single" w:sz="8" w:color="auto"/>
              <w:right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Maximum offering</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Maximum aggregate</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r>
      <w:tr>
        <w:trPr>
          <w:trHeight w:val="242"/>
        </w:trPr>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44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price per security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1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 xml:space="preserve">registration fee </w:t>
            </w:r>
            <w:r>
              <w:rPr>
                <w:rFonts w:ascii="Arial" w:cs="Arial" w:eastAsia="Arial" w:hAnsi="Arial"/>
                <w:sz w:val="23"/>
                <w:szCs w:val="23"/>
                <w:b w:val="1"/>
                <w:bCs w:val="1"/>
                <w:color w:val="auto"/>
                <w:w w:val="88"/>
                <w:vertAlign w:val="superscript"/>
              </w:rPr>
              <w:t>(1)</w:t>
            </w:r>
          </w:p>
        </w:tc>
      </w:tr>
      <w:tr>
        <w:trPr>
          <w:trHeight w:val="277"/>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2.625% Notes due 2026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$1,200,000,000</w:t>
            </w:r>
          </w:p>
        </w:tc>
        <w:tc>
          <w:tcPr>
            <w:tcW w:w="1440" w:type="dxa"/>
            <w:vAlign w:val="bottom"/>
            <w:tcBorders>
              <w:right w:val="single" w:sz="8" w:color="auto"/>
            </w:tcBorders>
          </w:tcPr>
          <w:p>
            <w:pPr>
              <w:jc w:val="right"/>
              <w:ind w:right="217"/>
              <w:spacing w:after="0"/>
              <w:rPr>
                <w:sz w:val="20"/>
                <w:szCs w:val="20"/>
                <w:color w:val="auto"/>
              </w:rPr>
            </w:pPr>
            <w:r>
              <w:rPr>
                <w:rFonts w:ascii="Arial" w:cs="Arial" w:eastAsia="Arial" w:hAnsi="Arial"/>
                <w:sz w:val="18"/>
                <w:szCs w:val="18"/>
                <w:color w:val="auto"/>
              </w:rPr>
              <w:t>100.000%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$130,920.00</w:t>
            </w:r>
          </w:p>
        </w:tc>
      </w:tr>
      <w:tr>
        <w:trPr>
          <w:trHeight w:val="324"/>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3.375% Notes due 2029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$1,250,000,000</w:t>
            </w:r>
          </w:p>
        </w:tc>
        <w:tc>
          <w:tcPr>
            <w:tcW w:w="1440" w:type="dxa"/>
            <w:vAlign w:val="bottom"/>
            <w:tcBorders>
              <w:right w:val="single" w:sz="8" w:color="auto"/>
            </w:tcBorders>
          </w:tcPr>
          <w:p>
            <w:pPr>
              <w:jc w:val="right"/>
              <w:ind w:right="217"/>
              <w:spacing w:after="0"/>
              <w:rPr>
                <w:sz w:val="20"/>
                <w:szCs w:val="20"/>
                <w:color w:val="auto"/>
              </w:rPr>
            </w:pPr>
            <w:r>
              <w:rPr>
                <w:rFonts w:ascii="Arial" w:cs="Arial" w:eastAsia="Arial" w:hAnsi="Arial"/>
                <w:sz w:val="18"/>
                <w:szCs w:val="18"/>
                <w:color w:val="auto"/>
              </w:rPr>
              <w:t>100.000%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$136,375.00</w:t>
            </w:r>
          </w:p>
        </w:tc>
      </w:tr>
      <w:tr>
        <w:trPr>
          <w:trHeight w:val="324"/>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3.500% Notes due 2031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$1,350,000,000</w:t>
            </w:r>
          </w:p>
        </w:tc>
        <w:tc>
          <w:tcPr>
            <w:tcW w:w="1440" w:type="dxa"/>
            <w:vAlign w:val="bottom"/>
            <w:tcBorders>
              <w:right w:val="single" w:sz="8" w:color="auto"/>
            </w:tcBorders>
          </w:tcPr>
          <w:p>
            <w:pPr>
              <w:jc w:val="right"/>
              <w:ind w:right="217"/>
              <w:spacing w:after="0"/>
              <w:rPr>
                <w:sz w:val="20"/>
                <w:szCs w:val="20"/>
                <w:color w:val="auto"/>
              </w:rPr>
            </w:pPr>
            <w:r>
              <w:rPr>
                <w:rFonts w:ascii="Arial" w:cs="Arial" w:eastAsia="Arial" w:hAnsi="Arial"/>
                <w:sz w:val="18"/>
                <w:szCs w:val="18"/>
                <w:color w:val="auto"/>
              </w:rPr>
              <w:t>100.000%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$1,350,000,000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$147,285.00</w:t>
            </w:r>
          </w:p>
        </w:tc>
      </w:tr>
      <w:tr>
        <w:trPr>
          <w:trHeight w:val="324"/>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$3,800,000,000</w:t>
            </w:r>
          </w:p>
        </w:tc>
        <w:tc>
          <w:tcPr>
            <w:tcW w:w="1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$3,800,000,000</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$414,580.00</w:t>
            </w:r>
          </w:p>
        </w:tc>
      </w:tr>
      <w:tr>
        <w:trPr>
          <w:trHeight w:val="54"/>
        </w:trPr>
        <w:tc>
          <w:tcPr>
            <w:tcW w:w="28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61"/>
        </w:trPr>
        <w:tc>
          <w:tcPr>
            <w:tcW w:w="28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bl>
    <w:p>
      <w:pPr>
        <w:spacing w:after="0" w:line="35" w:lineRule="exact"/>
        <w:rPr>
          <w:sz w:val="24"/>
          <w:szCs w:val="24"/>
          <w:color w:val="auto"/>
        </w:rPr>
      </w:pPr>
    </w:p>
    <w:p>
      <w:pPr>
        <w:ind w:left="640" w:hanging="348"/>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filing fee of $414,580.00 is calculated in accordance with Rule 456(b) and Rule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PROSPECTUS SUPPLEMENT</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Prospectus dated September 28, 2020)</w:t>
      </w:r>
    </w:p>
    <w:p>
      <w:pPr>
        <w:jc w:val="center"/>
        <w:ind w:right="-7"/>
        <w:spacing w:after="0"/>
        <w:rPr>
          <w:sz w:val="20"/>
          <w:szCs w:val="20"/>
          <w:color w:val="auto"/>
        </w:rPr>
      </w:pPr>
      <w:r>
        <w:rPr>
          <w:rFonts w:ascii="Arial" w:cs="Arial" w:eastAsia="Arial" w:hAnsi="Arial"/>
          <w:sz w:val="22"/>
          <w:szCs w:val="22"/>
          <w:b w:val="1"/>
          <w:bCs w:val="1"/>
          <w:color w:val="auto"/>
        </w:rPr>
        <w:t>$3,800,000,000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141605</wp:posOffset>
            </wp:positionV>
            <wp:extent cx="147447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
        <w:spacing w:after="0"/>
        <w:rPr>
          <w:sz w:val="20"/>
          <w:szCs w:val="20"/>
          <w:color w:val="auto"/>
        </w:rPr>
      </w:pPr>
      <w:r>
        <w:rPr>
          <w:rFonts w:ascii="Arial" w:cs="Arial" w:eastAsia="Arial" w:hAnsi="Arial"/>
          <w:sz w:val="25"/>
          <w:szCs w:val="25"/>
          <w:b w:val="1"/>
          <w:bCs w:val="1"/>
          <w:color w:val="auto"/>
        </w:rPr>
        <w:t>T-Mobile USA, Inc.</w:t>
      </w:r>
    </w:p>
    <w:p>
      <w:pPr>
        <w:spacing w:after="0" w:line="34" w:lineRule="exact"/>
        <w:rPr>
          <w:sz w:val="20"/>
          <w:szCs w:val="20"/>
          <w:color w:val="auto"/>
        </w:rPr>
      </w:pPr>
    </w:p>
    <w:p>
      <w:pPr>
        <w:ind w:left="3008"/>
        <w:spacing w:after="0"/>
        <w:rPr>
          <w:sz w:val="20"/>
          <w:szCs w:val="20"/>
          <w:color w:val="auto"/>
        </w:rPr>
      </w:pPr>
      <w:r>
        <w:rPr>
          <w:rFonts w:ascii="Arial" w:cs="Arial" w:eastAsia="Arial" w:hAnsi="Arial"/>
          <w:sz w:val="18"/>
          <w:szCs w:val="18"/>
          <w:b w:val="1"/>
          <w:bCs w:val="1"/>
          <w:color w:val="auto"/>
        </w:rPr>
        <w:t>$1,200,000,000 2.625% Senior Notes due 2026</w:t>
      </w:r>
    </w:p>
    <w:p>
      <w:pPr>
        <w:spacing w:after="0" w:line="7" w:lineRule="exact"/>
        <w:rPr>
          <w:sz w:val="20"/>
          <w:szCs w:val="20"/>
          <w:color w:val="auto"/>
        </w:rPr>
      </w:pPr>
    </w:p>
    <w:p>
      <w:pPr>
        <w:ind w:left="3008"/>
        <w:spacing w:after="0"/>
        <w:rPr>
          <w:sz w:val="20"/>
          <w:szCs w:val="20"/>
          <w:color w:val="auto"/>
        </w:rPr>
      </w:pPr>
      <w:r>
        <w:rPr>
          <w:rFonts w:ascii="Arial" w:cs="Arial" w:eastAsia="Arial" w:hAnsi="Arial"/>
          <w:sz w:val="18"/>
          <w:szCs w:val="18"/>
          <w:b w:val="1"/>
          <w:bCs w:val="1"/>
          <w:color w:val="auto"/>
        </w:rPr>
        <w:t>$1,250,000,000 3.375% Senior Notes due 2029</w:t>
      </w:r>
    </w:p>
    <w:p>
      <w:pPr>
        <w:spacing w:after="0" w:line="9" w:lineRule="exact"/>
        <w:rPr>
          <w:sz w:val="20"/>
          <w:szCs w:val="20"/>
          <w:color w:val="auto"/>
        </w:rPr>
      </w:pPr>
    </w:p>
    <w:p>
      <w:pPr>
        <w:ind w:left="3008"/>
        <w:spacing w:after="0"/>
        <w:rPr>
          <w:sz w:val="20"/>
          <w:szCs w:val="20"/>
          <w:color w:val="auto"/>
        </w:rPr>
      </w:pPr>
      <w:r>
        <w:rPr>
          <w:rFonts w:ascii="Arial" w:cs="Arial" w:eastAsia="Arial" w:hAnsi="Arial"/>
          <w:sz w:val="18"/>
          <w:szCs w:val="18"/>
          <w:b w:val="1"/>
          <w:bCs w:val="1"/>
          <w:color w:val="auto"/>
        </w:rPr>
        <w:t>$1,350,000,000 3.500% Senior Notes due 2031</w:t>
      </w:r>
    </w:p>
    <w:p>
      <w:pPr>
        <w:spacing w:after="0" w:line="31" w:lineRule="exact"/>
        <w:rPr>
          <w:sz w:val="20"/>
          <w:szCs w:val="20"/>
          <w:color w:val="auto"/>
        </w:rPr>
      </w:pPr>
    </w:p>
    <w:p>
      <w:pPr>
        <w:ind w:left="8" w:right="120" w:firstLine="360"/>
        <w:spacing w:after="0" w:line="224" w:lineRule="auto"/>
        <w:rPr>
          <w:sz w:val="20"/>
          <w:szCs w:val="20"/>
          <w:color w:val="auto"/>
        </w:rPr>
      </w:pPr>
      <w:r>
        <w:rPr>
          <w:rFonts w:ascii="Arial" w:cs="Arial" w:eastAsia="Arial" w:hAnsi="Arial"/>
          <w:sz w:val="14"/>
          <w:szCs w:val="14"/>
          <w:color w:val="auto"/>
        </w:rPr>
        <w:t>T-Mobile USA, Inc., a Delaware corporation (“T-Mobile USA” or the “Issuer”) and a direct wholly-owned subsidiary of T-Mobile US, Inc., a Delaware corporation (“T-Mobile US” or “Parent”) is offering $1,200,000,000 aggregate principal amount of its 2.625% Senior Notes due 2026 (the “2026 Notes”), $1,250,000,000 aggregate principal amount of its 3.375% Senior Notes due 2029 (the “2029 Notes”) and $1,350,000,000 aggregate principal amount of its 3.500% Senior Notes due 2031 (the “2031 Notes”). In this prospectus supplement, the term “Notes” collectively refers to the 2026 Notes, the 2029 Notes and the 2031 Notes.</w:t>
      </w:r>
    </w:p>
    <w:p>
      <w:pPr>
        <w:spacing w:after="0" w:line="3" w:lineRule="exact"/>
        <w:rPr>
          <w:sz w:val="20"/>
          <w:szCs w:val="20"/>
          <w:color w:val="auto"/>
        </w:rPr>
      </w:pPr>
    </w:p>
    <w:p>
      <w:pPr>
        <w:ind w:left="8" w:right="20" w:firstLine="360"/>
        <w:spacing w:after="0" w:line="221" w:lineRule="auto"/>
        <w:rPr>
          <w:sz w:val="20"/>
          <w:szCs w:val="20"/>
          <w:color w:val="auto"/>
        </w:rPr>
      </w:pPr>
      <w:r>
        <w:rPr>
          <w:rFonts w:ascii="Arial" w:cs="Arial" w:eastAsia="Arial" w:hAnsi="Arial"/>
          <w:sz w:val="14"/>
          <w:szCs w:val="14"/>
          <w:color w:val="auto"/>
        </w:rPr>
        <w:t>We intend to use $2.0 billion of the net proceeds from this offering to acquire spectrum licenses pursuant to the FCC’s C-Band spectrum Auction 107, with the remainder to be used, together with cash on hand, to redeem the Issuer’s 6.500% Senior Notes due 2026. See “Use of Proceeds.”</w:t>
      </w:r>
    </w:p>
    <w:p>
      <w:pPr>
        <w:spacing w:after="0" w:line="1" w:lineRule="exact"/>
        <w:rPr>
          <w:sz w:val="20"/>
          <w:szCs w:val="20"/>
          <w:color w:val="auto"/>
        </w:rPr>
      </w:pPr>
    </w:p>
    <w:p>
      <w:pPr>
        <w:ind w:left="8" w:right="240" w:firstLine="360"/>
        <w:spacing w:after="0" w:line="221" w:lineRule="auto"/>
        <w:rPr>
          <w:sz w:val="20"/>
          <w:szCs w:val="20"/>
          <w:color w:val="auto"/>
        </w:rPr>
      </w:pPr>
      <w:r>
        <w:rPr>
          <w:rFonts w:ascii="Arial" w:cs="Arial" w:eastAsia="Arial" w:hAnsi="Arial"/>
          <w:sz w:val="14"/>
          <w:szCs w:val="14"/>
          <w:color w:val="auto"/>
        </w:rPr>
        <w:t>The 2026 Notes will bear interest at a rate of 2.625% per year and mature on April 15, 2026. The 2029 Notes will bear interest at a rate of 3.375% per year and mature on April 15, 2029. The 2031 Notes will bear interest at a rate of 3.500% per year and mature on April 15, 2031. Interest on the Notes will be paid on each April 15 and October 15, commencing October 15, 2021. See “Description of Notes—Brief Description of the Notes and the Note Guarantees—Principal, Maturity and Interest.” There is no sinking fund for the Notes.</w:t>
      </w:r>
    </w:p>
    <w:p>
      <w:pPr>
        <w:spacing w:after="0" w:line="1" w:lineRule="exact"/>
        <w:rPr>
          <w:sz w:val="20"/>
          <w:szCs w:val="20"/>
          <w:color w:val="auto"/>
        </w:rPr>
      </w:pPr>
    </w:p>
    <w:p>
      <w:pPr>
        <w:ind w:left="8" w:right="80" w:firstLine="360"/>
        <w:spacing w:after="0" w:line="238" w:lineRule="auto"/>
        <w:rPr>
          <w:sz w:val="20"/>
          <w:szCs w:val="20"/>
          <w:color w:val="auto"/>
        </w:rPr>
      </w:pPr>
      <w:r>
        <w:rPr>
          <w:rFonts w:ascii="Arial" w:cs="Arial" w:eastAsia="Arial" w:hAnsi="Arial"/>
          <w:sz w:val="13"/>
          <w:szCs w:val="13"/>
          <w:color w:val="auto"/>
        </w:rPr>
        <w:t>The 2026 Notes will be redeemable, in whole or in part, at any time on or after April 15, 2023 at the redemption prices specified under “Description of Notes —Optional Redemption” plus accrued and unpaid interest to, but not including, the redemption date. The Issuer may redeem up to 40% of the aggregate principal amount of the 2026 Notes prior to April 15, 2023 with an amount equal to the net cash proceeds from certain equity offerings. The Issuer also may redeem the 2026 Notes prior to April 15, 2023 at a specified “make-whole” redemption price plus accrued and unpaid interest to, but not including, the redemption date.</w:t>
      </w:r>
    </w:p>
    <w:p>
      <w:pPr>
        <w:spacing w:after="0" w:line="1" w:lineRule="exact"/>
        <w:rPr>
          <w:sz w:val="20"/>
          <w:szCs w:val="20"/>
          <w:color w:val="auto"/>
        </w:rPr>
      </w:pPr>
    </w:p>
    <w:p>
      <w:pPr>
        <w:ind w:left="8" w:right="80" w:firstLine="360"/>
        <w:spacing w:after="0" w:line="238" w:lineRule="auto"/>
        <w:rPr>
          <w:sz w:val="20"/>
          <w:szCs w:val="20"/>
          <w:color w:val="auto"/>
        </w:rPr>
      </w:pPr>
      <w:r>
        <w:rPr>
          <w:rFonts w:ascii="Arial" w:cs="Arial" w:eastAsia="Arial" w:hAnsi="Arial"/>
          <w:sz w:val="13"/>
          <w:szCs w:val="13"/>
          <w:color w:val="auto"/>
        </w:rPr>
        <w:t>The 2029 Notes will be redeemable, in whole or in part, at any time on or after April 15, 2024 at the redemption prices specified under “Description of Notes —Optional Redemption” plus accrued and unpaid interest to, but not including, the redemption date. The Issuer may redeem up to 40% of the aggregate principal amount of the 2029 Notes prior to April 15, 2024 with an amount equal to the net cash proceeds from certain equity offerings. The Issuer also may redeem the 2029 Notes prior to April 15, 2024 at a specified “make-whole” redemption price plus accrued and unpaid interest to, but not including, the redemption date.</w:t>
      </w:r>
    </w:p>
    <w:p>
      <w:pPr>
        <w:spacing w:after="0" w:line="1" w:lineRule="exact"/>
        <w:rPr>
          <w:sz w:val="20"/>
          <w:szCs w:val="20"/>
          <w:color w:val="auto"/>
        </w:rPr>
      </w:pPr>
    </w:p>
    <w:p>
      <w:pPr>
        <w:ind w:left="8" w:right="80" w:firstLine="360"/>
        <w:spacing w:after="0" w:line="238" w:lineRule="auto"/>
        <w:rPr>
          <w:sz w:val="20"/>
          <w:szCs w:val="20"/>
          <w:color w:val="auto"/>
        </w:rPr>
      </w:pPr>
      <w:r>
        <w:rPr>
          <w:rFonts w:ascii="Arial" w:cs="Arial" w:eastAsia="Arial" w:hAnsi="Arial"/>
          <w:sz w:val="13"/>
          <w:szCs w:val="13"/>
          <w:color w:val="auto"/>
        </w:rPr>
        <w:t>The 2031 Notes will be redeemable, in whole or in part, at any time on or after April 15, 2026 at the redemption prices specified under “Description of Notes —Optional Redemption” plus accrued and unpaid interest to, but not including, the redemption date. The Issuer may redeem up to 40% of the aggregate principal amount of the 2031 Notes prior to April 15, 2024 with an amount equal to the net cash proceeds from certain equity offerings. The Issuer also may redeem the 2031 Notes prior to April 15, 2026 at a specified “make-whole” redemption price plus accrued and unpaid interest to, but not including, the redemption date.</w:t>
      </w:r>
    </w:p>
    <w:p>
      <w:pPr>
        <w:spacing w:after="0" w:line="1" w:lineRule="exact"/>
        <w:rPr>
          <w:sz w:val="20"/>
          <w:szCs w:val="20"/>
          <w:color w:val="auto"/>
        </w:rPr>
      </w:pPr>
    </w:p>
    <w:p>
      <w:pPr>
        <w:jc w:val="both"/>
        <w:ind w:left="8" w:right="80" w:firstLine="360"/>
        <w:spacing w:after="0" w:line="221" w:lineRule="auto"/>
        <w:rPr>
          <w:sz w:val="20"/>
          <w:szCs w:val="20"/>
          <w:color w:val="auto"/>
        </w:rPr>
      </w:pPr>
      <w:r>
        <w:rPr>
          <w:rFonts w:ascii="Arial" w:cs="Arial" w:eastAsia="Arial" w:hAnsi="Arial"/>
          <w:sz w:val="14"/>
          <w:szCs w:val="14"/>
          <w:color w:val="auto"/>
        </w:rPr>
        <w:t>If the Issuer experiences a Change of Control Triggering Event (as defined herein), the Issuer will be required to offer to repurchase the Notes at a repurchase price equal to 101% of the principal amount, plus accrued and unpaid interest to, but not including, the repurchase date. See “Description of Notes—Repurchase at the Option of Holders—Change of Control Triggering Event.”</w:t>
      </w:r>
    </w:p>
    <w:p>
      <w:pPr>
        <w:spacing w:after="0" w:line="1" w:lineRule="exact"/>
        <w:rPr>
          <w:sz w:val="20"/>
          <w:szCs w:val="20"/>
          <w:color w:val="auto"/>
        </w:rPr>
      </w:pPr>
    </w:p>
    <w:p>
      <w:pPr>
        <w:ind w:left="8" w:right="40" w:firstLine="360"/>
        <w:spacing w:after="0" w:line="221" w:lineRule="auto"/>
        <w:rPr>
          <w:sz w:val="20"/>
          <w:szCs w:val="20"/>
          <w:color w:val="auto"/>
        </w:rPr>
      </w:pPr>
      <w:r>
        <w:rPr>
          <w:rFonts w:ascii="Arial" w:cs="Arial" w:eastAsia="Arial" w:hAnsi="Arial"/>
          <w:sz w:val="14"/>
          <w:szCs w:val="14"/>
          <w:color w:val="auto"/>
        </w:rPr>
        <w:t>The Issuer’s obligations under the Notes will be guaranteed (such guarantees, the “Guarantees”) by (x) T-Mobile US and each wholly-owned subsidiary of the Issuer that is not an Excluded Subsidiary (as defined herein) and either (i) is or becomes an obligor of the Credit Agreement (as defined herein) or (ii) issues or guarantees certain capital markets debt securities, and (y) any future direct or indirect subsidiary of T-Mobile US or any subsidiary thereof that owns capital stock of the Issuer.</w:t>
      </w:r>
    </w:p>
    <w:p>
      <w:pPr>
        <w:spacing w:after="0" w:line="1" w:lineRule="exact"/>
        <w:rPr>
          <w:sz w:val="20"/>
          <w:szCs w:val="20"/>
          <w:color w:val="auto"/>
        </w:rPr>
      </w:pPr>
    </w:p>
    <w:p>
      <w:pPr>
        <w:ind w:left="8" w:right="20" w:firstLine="360"/>
        <w:spacing w:after="0" w:line="238" w:lineRule="auto"/>
        <w:rPr>
          <w:sz w:val="20"/>
          <w:szCs w:val="20"/>
          <w:color w:val="auto"/>
        </w:rPr>
      </w:pPr>
      <w:r>
        <w:rPr>
          <w:rFonts w:ascii="Arial" w:cs="Arial" w:eastAsia="Arial" w:hAnsi="Arial"/>
          <w:sz w:val="13"/>
          <w:szCs w:val="13"/>
          <w:color w:val="auto"/>
        </w:rPr>
        <w:t>The Notes and the Guarantees will be the Issuer’s and the guarantors’ unsubordinated unsecured obligations; will be senior in right of payment to any future indebtedness of the Issuer or any guarantor to the extent that such future indebtedness provides by its terms that it is subordinated in right of payment to the Notes and the Guarantees; will be equal in right of payment with any of the Issuer’s and the guarantors’ existing and future indebtedness and other liabilities that are not by their terms subordinated in right of payment to the Notes, including, without limitation, obligations under the Existing T-Mobile Secured Notes, the Existing T-Mobile Unsecured Notes, the Existing Sprint Unsecured Notes, the Credit Agreement and the Tower Obligations (each as defined herein); will be effectively subordinated to all existing and future secured indebtedness of the Issuer or any guarantor, including, without limitation, obligations under the Existing T-Mobile Secured Notes and the Credit Agreement, in each case to the extent of the value of the assets securing such indebtedness; and will be structurally subordinated to all of the liabilities and other obligations of the subsidiaries of T-Mobile US that are not obligors with respect to the Notes, including the Existing Sprint Spectrum-Backed Notes (as defined herein), factoring arrangements and Tower Obligations.</w:t>
      </w:r>
    </w:p>
    <w:p>
      <w:pPr>
        <w:spacing w:after="0" w:line="2" w:lineRule="exact"/>
        <w:rPr>
          <w:sz w:val="20"/>
          <w:szCs w:val="20"/>
          <w:color w:val="auto"/>
        </w:rPr>
      </w:pPr>
    </w:p>
    <w:p>
      <w:pPr>
        <w:ind w:left="8" w:right="300" w:firstLine="360"/>
        <w:spacing w:after="0" w:line="237"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See “Risk Factors” beginning on page S-</w:t>
      </w:r>
      <w:hyperlink w:anchor="page24">
        <w:r>
          <w:rPr>
            <w:rFonts w:ascii="Arial" w:cs="Arial" w:eastAsia="Arial" w:hAnsi="Arial"/>
            <w:sz w:val="14"/>
            <w:szCs w:val="14"/>
            <w:b w:val="1"/>
            <w:bCs w:val="1"/>
            <w:u w:val="single" w:color="auto"/>
            <w:color w:val="0000EE"/>
          </w:rPr>
          <w:t>17</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of this prospectus supplement. You should also consider the risk factors described in the documents incorporated by reference in the accompanying prospectus.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2026 Note</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2029 Note</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Per 2031 Note</w:t>
            </w:r>
          </w:p>
        </w:tc>
      </w:tr>
      <w:tr>
        <w:trPr>
          <w:trHeight w:val="39"/>
        </w:trPr>
        <w:tc>
          <w:tcPr>
            <w:tcW w:w="59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96"/>
        </w:trPr>
        <w:tc>
          <w:tcPr>
            <w:tcW w:w="5940" w:type="dxa"/>
            <w:vAlign w:val="bottom"/>
          </w:tcPr>
          <w:p>
            <w:pPr>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w w:val="90"/>
              </w:rPr>
              <w:t>$1,200,000,000</w:t>
            </w:r>
          </w:p>
        </w:tc>
        <w:tc>
          <w:tcPr>
            <w:tcW w:w="24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w w:val="90"/>
              </w:rPr>
              <w:t>$1,250,000,000</w:t>
            </w:r>
          </w:p>
        </w:tc>
        <w:tc>
          <w:tcPr>
            <w:tcW w:w="24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w w:val="90"/>
              </w:rPr>
              <w:t>$1,350,000,000</w:t>
            </w:r>
          </w:p>
        </w:tc>
      </w:tr>
      <w:tr>
        <w:trPr>
          <w:trHeight w:val="182"/>
        </w:trPr>
        <w:tc>
          <w:tcPr>
            <w:tcW w:w="594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Proceeds to T-Mobile USA, Inc.</w:t>
            </w:r>
            <w:r>
              <w:rPr>
                <w:rFonts w:ascii="Arial" w:cs="Arial" w:eastAsia="Arial" w:hAnsi="Arial"/>
                <w:sz w:val="21"/>
                <w:szCs w:val="21"/>
                <w:color w:val="auto"/>
                <w:vertAlign w:val="superscript"/>
              </w:rPr>
              <w:t>(1)</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$1,194,854,000</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$1,244,637,500</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0"/>
              </w:rPr>
              <w:t>$1,344,208,500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-393700</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-393700</wp:posOffset>
            </wp:positionV>
            <wp:extent cx="154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-393700</wp:posOffset>
            </wp:positionV>
            <wp:extent cx="7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822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348" w:right="120" w:hanging="348"/>
        <w:spacing w:after="0" w:line="248" w:lineRule="auto"/>
        <w:tabs>
          <w:tab w:leader="none" w:pos="348" w:val="left"/>
        </w:tabs>
        <w:numPr>
          <w:ilvl w:val="0"/>
          <w:numId w:val="2"/>
        </w:numPr>
        <w:rPr>
          <w:rFonts w:ascii="Arial" w:cs="Arial" w:eastAsia="Arial" w:hAnsi="Arial"/>
          <w:sz w:val="14"/>
          <w:szCs w:val="14"/>
          <w:color w:val="auto"/>
        </w:rPr>
      </w:pPr>
      <w:r>
        <w:rPr>
          <w:rFonts w:ascii="Arial" w:cs="Arial" w:eastAsia="Arial" w:hAnsi="Arial"/>
          <w:sz w:val="14"/>
          <w:szCs w:val="14"/>
          <w:color w:val="auto"/>
        </w:rPr>
        <w:t>Before expenses. The underwriting discount is 0.43% of the principal amount thereof, resulting in total underwriting discounts of (i) $5,146,000 for the 2026 Notes, (ii) $5,362,500 for the 2029 Notes and (iii) $5,791,500 for the 2031 Notes.</w:t>
      </w:r>
    </w:p>
    <w:p>
      <w:pPr>
        <w:spacing w:after="0" w:line="1" w:lineRule="exact"/>
        <w:rPr>
          <w:sz w:val="20"/>
          <w:szCs w:val="20"/>
          <w:color w:val="auto"/>
        </w:rPr>
      </w:pPr>
    </w:p>
    <w:p>
      <w:pPr>
        <w:jc w:val="both"/>
        <w:ind w:left="8" w:right="20" w:firstLine="360"/>
        <w:spacing w:after="0" w:line="24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p>
      <w:pPr>
        <w:jc w:val="both"/>
        <w:ind w:left="8" w:right="20" w:firstLine="360"/>
        <w:spacing w:after="0" w:line="234" w:lineRule="auto"/>
        <w:rPr>
          <w:sz w:val="20"/>
          <w:szCs w:val="20"/>
          <w:color w:val="auto"/>
        </w:rPr>
      </w:pPr>
      <w:r>
        <w:rPr>
          <w:rFonts w:ascii="Arial" w:cs="Arial" w:eastAsia="Arial" w:hAnsi="Arial"/>
          <w:sz w:val="14"/>
          <w:szCs w:val="14"/>
          <w:color w:val="auto"/>
        </w:rPr>
        <w:t>Each series of Notes will be issued only in registered form in minimum denominations of $2,000 and integral multiples of $1,000 in excess thereof. The Issuer does not intend to apply for the Notes to be listed on any securities exchange or to arrange for the Notes to be quoted on any quotation system. Currently, there is no public market for the Notes.</w:t>
      </w:r>
    </w:p>
    <w:p>
      <w:pPr>
        <w:spacing w:after="0" w:line="8" w:lineRule="exact"/>
        <w:rPr>
          <w:sz w:val="20"/>
          <w:szCs w:val="20"/>
          <w:color w:val="auto"/>
        </w:rPr>
      </w:pPr>
    </w:p>
    <w:p>
      <w:pPr>
        <w:ind w:left="8" w:right="120" w:firstLine="360"/>
        <w:spacing w:after="0" w:line="236" w:lineRule="auto"/>
        <w:rPr>
          <w:sz w:val="20"/>
          <w:szCs w:val="20"/>
          <w:color w:val="auto"/>
        </w:rPr>
      </w:pPr>
      <w:r>
        <w:rPr>
          <w:rFonts w:ascii="Arial" w:cs="Arial" w:eastAsia="Arial" w:hAnsi="Arial"/>
          <w:sz w:val="14"/>
          <w:szCs w:val="14"/>
          <w:color w:val="auto"/>
        </w:rPr>
        <w:t>The underwriters are offering the Notes as set forth under “Underwriting.” Delivery of the Notes is expected to be made on or about March 23, 2021 through the facilities of The Depository Trust Company.</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2260" w:type="dxa"/>
            <w:vAlign w:val="bottom"/>
          </w:tcPr>
          <w:p>
            <w:pPr>
              <w:spacing w:after="0"/>
              <w:rPr>
                <w:sz w:val="20"/>
                <w:szCs w:val="20"/>
                <w:color w:val="auto"/>
              </w:rPr>
            </w:pPr>
          </w:p>
        </w:tc>
      </w:tr>
      <w:tr>
        <w:trPr>
          <w:trHeight w:val="375"/>
        </w:trPr>
        <w:tc>
          <w:tcPr>
            <w:tcW w:w="2020" w:type="dxa"/>
            <w:vAlign w:val="bottom"/>
          </w:tcPr>
          <w:p>
            <w:pPr>
              <w:spacing w:after="0"/>
              <w:rPr>
                <w:sz w:val="20"/>
                <w:szCs w:val="20"/>
                <w:color w:val="auto"/>
              </w:rPr>
            </w:pPr>
            <w:r>
              <w:rPr>
                <w:rFonts w:ascii="Arial" w:cs="Arial" w:eastAsia="Arial" w:hAnsi="Arial"/>
                <w:sz w:val="18"/>
                <w:szCs w:val="18"/>
                <w:b w:val="1"/>
                <w:bCs w:val="1"/>
                <w:color w:val="auto"/>
              </w:rPr>
              <w:t>Credit Suisse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Citigroup</w:t>
            </w:r>
          </w:p>
        </w:tc>
        <w:tc>
          <w:tcPr>
            <w:tcW w:w="36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7"/>
              </w:rPr>
              <w:t>Deutsche Bank Securities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w w:val="98"/>
              </w:rPr>
              <w:t>Goldman Sachs &amp; Co. LLC</w:t>
            </w:r>
          </w:p>
        </w:tc>
      </w:tr>
      <w:tr>
        <w:trPr>
          <w:trHeight w:val="270"/>
        </w:trPr>
        <w:tc>
          <w:tcPr>
            <w:tcW w:w="202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J.P. Morgan</w:t>
            </w:r>
          </w:p>
        </w:tc>
        <w:tc>
          <w:tcPr>
            <w:tcW w:w="36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2"/>
              </w:rPr>
              <w:t>Morgan Stanley</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RBC Capital Markets</w:t>
            </w:r>
          </w:p>
        </w:tc>
      </w:tr>
      <w:tr>
        <w:trPr>
          <w:trHeight w:val="270"/>
        </w:trPr>
        <w:tc>
          <w:tcPr>
            <w:tcW w:w="2020" w:type="dxa"/>
            <w:vAlign w:val="bottom"/>
          </w:tcPr>
          <w:p>
            <w:pPr>
              <w:spacing w:after="0"/>
              <w:rPr>
                <w:sz w:val="20"/>
                <w:szCs w:val="20"/>
                <w:color w:val="auto"/>
              </w:rPr>
            </w:pPr>
            <w:r>
              <w:rPr>
                <w:rFonts w:ascii="Arial" w:cs="Arial" w:eastAsia="Arial" w:hAnsi="Arial"/>
                <w:sz w:val="18"/>
                <w:szCs w:val="18"/>
                <w:b w:val="1"/>
                <w:bCs w:val="1"/>
                <w:color w:val="auto"/>
              </w:rPr>
              <w:t>BNP PARIBAS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rPr>
              <w:t>COMMERZBANK</w:t>
            </w:r>
          </w:p>
        </w:tc>
        <w:tc>
          <w:tcPr>
            <w:tcW w:w="36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4"/>
              </w:rPr>
              <w:t>Credit Agricole CIB</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Mizuho Securities</w:t>
            </w:r>
          </w:p>
        </w:tc>
      </w:tr>
      <w:tr>
        <w:trPr>
          <w:trHeight w:val="270"/>
        </w:trPr>
        <w:tc>
          <w:tcPr>
            <w:tcW w:w="2020" w:type="dxa"/>
            <w:vAlign w:val="bottom"/>
          </w:tcPr>
          <w:p>
            <w:pPr>
              <w:spacing w:after="0"/>
              <w:rPr>
                <w:sz w:val="20"/>
                <w:szCs w:val="20"/>
                <w:color w:val="auto"/>
              </w:rPr>
            </w:pPr>
            <w:r>
              <w:rPr>
                <w:rFonts w:ascii="Arial" w:cs="Arial" w:eastAsia="Arial" w:hAnsi="Arial"/>
                <w:sz w:val="18"/>
                <w:szCs w:val="18"/>
                <w:b w:val="1"/>
                <w:bCs w:val="1"/>
                <w:color w:val="auto"/>
              </w:rPr>
              <w:t>MUFG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7"/>
              </w:rPr>
              <w:t>SMBC Nikko</w:t>
            </w:r>
          </w:p>
        </w:tc>
        <w:tc>
          <w:tcPr>
            <w:tcW w:w="36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TD Securities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Wells Fargo Securities</w:t>
            </w:r>
          </w:p>
        </w:tc>
      </w:tr>
      <w:tr>
        <w:trPr>
          <w:trHeight w:val="270"/>
        </w:trPr>
        <w:tc>
          <w:tcPr>
            <w:tcW w:w="20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80" w:type="dxa"/>
            <w:vAlign w:val="bottom"/>
          </w:tcPr>
          <w:p>
            <w:pPr>
              <w:ind w:left="680"/>
              <w:spacing w:after="0"/>
              <w:rPr>
                <w:sz w:val="20"/>
                <w:szCs w:val="20"/>
                <w:color w:val="auto"/>
              </w:rPr>
            </w:pPr>
            <w:r>
              <w:rPr>
                <w:rFonts w:ascii="Arial" w:cs="Arial" w:eastAsia="Arial" w:hAnsi="Arial"/>
                <w:sz w:val="18"/>
                <w:szCs w:val="18"/>
                <w:b w:val="1"/>
                <w:bCs w:val="1"/>
                <w:i w:val="1"/>
                <w:iCs w:val="1"/>
                <w:color w:val="auto"/>
              </w:rPr>
              <w:t>Co-Managers</w:t>
            </w:r>
          </w:p>
        </w:tc>
        <w:tc>
          <w:tcPr>
            <w:tcW w:w="160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405"/>
        </w:trPr>
        <w:tc>
          <w:tcPr>
            <w:tcW w:w="2020" w:type="dxa"/>
            <w:vAlign w:val="bottom"/>
          </w:tcPr>
          <w:p>
            <w:pPr>
              <w:spacing w:after="0"/>
              <w:rPr>
                <w:sz w:val="20"/>
                <w:szCs w:val="20"/>
                <w:color w:val="auto"/>
              </w:rPr>
            </w:pPr>
            <w:r>
              <w:rPr>
                <w:rFonts w:ascii="Arial" w:cs="Arial" w:eastAsia="Arial" w:hAnsi="Arial"/>
                <w:sz w:val="18"/>
                <w:szCs w:val="18"/>
                <w:b w:val="1"/>
                <w:bCs w:val="1"/>
                <w:color w:val="auto"/>
              </w:rPr>
              <w:t>NatWest Markets</w:t>
            </w:r>
          </w:p>
        </w:tc>
        <w:tc>
          <w:tcPr>
            <w:tcW w:w="1540" w:type="dxa"/>
            <w:vAlign w:val="bottom"/>
          </w:tcPr>
          <w:p>
            <w:pPr>
              <w:ind w:left="80"/>
              <w:spacing w:after="0"/>
              <w:rPr>
                <w:sz w:val="20"/>
                <w:szCs w:val="20"/>
                <w:color w:val="auto"/>
              </w:rPr>
            </w:pPr>
            <w:r>
              <w:rPr>
                <w:rFonts w:ascii="Arial" w:cs="Arial" w:eastAsia="Arial" w:hAnsi="Arial"/>
                <w:sz w:val="18"/>
                <w:szCs w:val="18"/>
                <w:b w:val="1"/>
                <w:bCs w:val="1"/>
                <w:color w:val="auto"/>
              </w:rPr>
              <w:t>Santander</w:t>
            </w:r>
          </w:p>
        </w:tc>
        <w:tc>
          <w:tcPr>
            <w:tcW w:w="2080" w:type="dxa"/>
            <w:vAlign w:val="bottom"/>
          </w:tcPr>
          <w:p>
            <w:pPr>
              <w:spacing w:after="0"/>
              <w:rPr>
                <w:sz w:val="20"/>
                <w:szCs w:val="20"/>
                <w:color w:val="auto"/>
              </w:rPr>
            </w:pPr>
            <w:r>
              <w:rPr>
                <w:rFonts w:ascii="Arial" w:cs="Arial" w:eastAsia="Arial" w:hAnsi="Arial"/>
                <w:sz w:val="18"/>
                <w:szCs w:val="18"/>
                <w:b w:val="1"/>
                <w:bCs w:val="1"/>
                <w:color w:val="auto"/>
              </w:rPr>
              <w:t>SOCIETE GENERALE</w:t>
            </w:r>
          </w:p>
        </w:tc>
        <w:tc>
          <w:tcPr>
            <w:tcW w:w="1600" w:type="dxa"/>
            <w:vAlign w:val="bottom"/>
          </w:tcPr>
          <w:p>
            <w:pPr>
              <w:ind w:left="220"/>
              <w:spacing w:after="0"/>
              <w:rPr>
                <w:sz w:val="20"/>
                <w:szCs w:val="20"/>
                <w:color w:val="auto"/>
              </w:rPr>
            </w:pPr>
            <w:r>
              <w:rPr>
                <w:rFonts w:ascii="Arial" w:cs="Arial" w:eastAsia="Arial" w:hAnsi="Arial"/>
                <w:sz w:val="18"/>
                <w:szCs w:val="18"/>
                <w:b w:val="1"/>
                <w:bCs w:val="1"/>
                <w:color w:val="auto"/>
                <w:w w:val="96"/>
              </w:rPr>
              <w:t>Truist Securities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70"/>
        </w:trPr>
        <w:tc>
          <w:tcPr>
            <w:tcW w:w="2020" w:type="dxa"/>
            <w:vAlign w:val="bottom"/>
          </w:tcPr>
          <w:p>
            <w:pPr>
              <w:spacing w:after="0"/>
              <w:rPr>
                <w:sz w:val="20"/>
                <w:szCs w:val="20"/>
                <w:color w:val="auto"/>
              </w:rPr>
            </w:pPr>
            <w:r>
              <w:rPr>
                <w:rFonts w:ascii="Arial" w:cs="Arial" w:eastAsia="Arial" w:hAnsi="Arial"/>
                <w:sz w:val="18"/>
                <w:szCs w:val="18"/>
                <w:b w:val="1"/>
                <w:bCs w:val="1"/>
                <w:color w:val="auto"/>
                <w:w w:val="90"/>
              </w:rPr>
              <w:t>CastleOak Securities, L.P.</w:t>
            </w:r>
          </w:p>
        </w:tc>
        <w:tc>
          <w:tcPr>
            <w:tcW w:w="1540" w:type="dxa"/>
            <w:vAlign w:val="bottom"/>
          </w:tcPr>
          <w:p>
            <w:pPr>
              <w:spacing w:after="0"/>
              <w:rPr>
                <w:sz w:val="23"/>
                <w:szCs w:val="23"/>
                <w:color w:val="auto"/>
              </w:rPr>
            </w:pPr>
          </w:p>
        </w:tc>
        <w:tc>
          <w:tcPr>
            <w:tcW w:w="2080" w:type="dxa"/>
            <w:vAlign w:val="bottom"/>
          </w:tcPr>
          <w:p>
            <w:pPr>
              <w:ind w:left="140"/>
              <w:spacing w:after="0"/>
              <w:rPr>
                <w:sz w:val="20"/>
                <w:szCs w:val="20"/>
                <w:color w:val="auto"/>
              </w:rPr>
            </w:pPr>
            <w:r>
              <w:rPr>
                <w:rFonts w:ascii="Arial" w:cs="Arial" w:eastAsia="Arial" w:hAnsi="Arial"/>
                <w:sz w:val="18"/>
                <w:szCs w:val="18"/>
                <w:b w:val="1"/>
                <w:bCs w:val="1"/>
                <w:color w:val="auto"/>
              </w:rPr>
              <w:t>MFR Securities, Inc.</w:t>
            </w:r>
          </w:p>
        </w:tc>
        <w:tc>
          <w:tcPr>
            <w:tcW w:w="16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w w:val="99"/>
              </w:rPr>
              <w:t>Multi-Bank Securities, Inc.</w:t>
            </w:r>
          </w:p>
        </w:tc>
      </w:tr>
    </w:tbl>
    <w:p>
      <w:pPr>
        <w:spacing w:after="0" w:line="99" w:lineRule="exact"/>
        <w:rPr>
          <w:sz w:val="20"/>
          <w:szCs w:val="20"/>
          <w:color w:val="auto"/>
        </w:rPr>
      </w:pPr>
    </w:p>
    <w:p>
      <w:pPr>
        <w:sectPr>
          <w:pgSz w:w="11900" w:h="16838" w:orient="portrait"/>
          <w:cols w:equalWidth="0" w:num="1">
            <w:col w:w="9508"/>
          </w:cols>
          <w:pgMar w:left="1192" w:top="265" w:right="1199" w:bottom="1440" w:gutter="0" w:footer="0" w:header="0"/>
        </w:sectPr>
      </w:pPr>
    </w:p>
    <w:p>
      <w:pPr>
        <w:jc w:val="center"/>
        <w:ind w:right="12"/>
        <w:spacing w:after="0"/>
        <w:rPr>
          <w:sz w:val="20"/>
          <w:szCs w:val="20"/>
          <w:color w:val="auto"/>
        </w:rPr>
      </w:pPr>
      <w:r>
        <w:rPr>
          <w:rFonts w:ascii="Arial" w:cs="Arial" w:eastAsia="Arial" w:hAnsi="Arial"/>
          <w:sz w:val="12"/>
          <w:szCs w:val="12"/>
          <w:b w:val="1"/>
          <w:bCs w:val="1"/>
          <w:color w:val="auto"/>
        </w:rPr>
        <w:t>The date of this prospectus supplement is 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132715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type w:val="continuous"/>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53"/>
        </w:trPr>
        <w:tc>
          <w:tcPr>
            <w:tcW w:w="7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Cautionary Note Regarding Forward-Looking Statements</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S-iii</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1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rFonts w:ascii="Arial" w:cs="Arial" w:eastAsia="Arial" w:hAnsi="Arial"/>
                <w:sz w:val="18"/>
                <w:szCs w:val="18"/>
                <w:color w:val="0000EE"/>
                <w:w w:val="78"/>
              </w:rPr>
            </w:pPr>
            <w:hyperlink w:anchor="page7">
              <w:r>
                <w:rPr>
                  <w:rFonts w:ascii="Arial" w:cs="Arial" w:eastAsia="Arial" w:hAnsi="Arial"/>
                  <w:sz w:val="18"/>
                  <w:szCs w:val="18"/>
                  <w:color w:val="0000EE"/>
                  <w:w w:val="78"/>
                </w:rPr>
                <w:t>S-1</w:t>
              </w:r>
            </w:hyperlink>
          </w:p>
        </w:tc>
      </w:tr>
      <w:tr>
        <w:trPr>
          <w:trHeight w:val="74"/>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180" w:type="dxa"/>
            <w:vAlign w:val="bottom"/>
          </w:tcPr>
          <w:p>
            <w:pPr>
              <w:spacing w:after="0"/>
              <w:rPr>
                <w:sz w:val="19"/>
                <w:szCs w:val="19"/>
                <w:color w:val="auto"/>
              </w:rPr>
            </w:pPr>
          </w:p>
        </w:tc>
        <w:tc>
          <w:tcPr>
            <w:tcW w:w="260" w:type="dxa"/>
            <w:vAlign w:val="bottom"/>
            <w:gridSpan w:val="3"/>
          </w:tcPr>
          <w:p>
            <w:pPr>
              <w:jc w:val="right"/>
              <w:ind w:right="20"/>
              <w:spacing w:after="0"/>
              <w:rPr>
                <w:rFonts w:ascii="Arial" w:cs="Arial" w:eastAsia="Arial" w:hAnsi="Arial"/>
                <w:sz w:val="18"/>
                <w:szCs w:val="18"/>
                <w:color w:val="0000EE"/>
                <w:w w:val="78"/>
              </w:rPr>
            </w:pPr>
            <w:hyperlink w:anchor="page9">
              <w:r>
                <w:rPr>
                  <w:rFonts w:ascii="Arial" w:cs="Arial" w:eastAsia="Arial" w:hAnsi="Arial"/>
                  <w:sz w:val="18"/>
                  <w:szCs w:val="18"/>
                  <w:color w:val="0000EE"/>
                  <w:w w:val="78"/>
                </w:rPr>
                <w:t>S-3</w:t>
              </w:r>
            </w:hyperlink>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Summary Historical Financial and Operating Data of T-Mobile</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S-10</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Summary Historical Financial Data of Sprint</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S-15</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S-17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Use of Proceeds</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S-26</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Capitalization</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Selected Historical Consolidated Financial Data of T-Mobile</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S-29</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Selected Historical Consolidated Financial Data of Sprint</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S-31</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Other Indebtedness and Certain Financing Transactions</w:t>
              </w:r>
            </w:hyperlink>
          </w:p>
        </w:tc>
        <w:tc>
          <w:tcPr>
            <w:tcW w:w="440" w:type="dxa"/>
            <w:vAlign w:val="bottom"/>
            <w:gridSpan w:val="4"/>
          </w:tcPr>
          <w:p>
            <w:pPr>
              <w:jc w:val="right"/>
              <w:ind w:righ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S-33</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Notes</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S-40</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Book-Entry System; Delivery and Form</w:t>
              </w:r>
            </w:hyperlink>
          </w:p>
        </w:tc>
        <w:tc>
          <w:tcPr>
            <w:tcW w:w="440" w:type="dxa"/>
            <w:vAlign w:val="bottom"/>
            <w:gridSpan w:val="4"/>
          </w:tcPr>
          <w:p>
            <w:pPr>
              <w:jc w:val="right"/>
              <w:ind w:right="20"/>
              <w:spacing w:after="0"/>
              <w:rPr>
                <w:rFonts w:ascii="Arial" w:cs="Arial" w:eastAsia="Arial" w:hAnsi="Arial"/>
                <w:sz w:val="18"/>
                <w:szCs w:val="18"/>
                <w:u w:val="single" w:color="auto"/>
                <w:color w:val="0000EE"/>
                <w:w w:val="83"/>
              </w:rPr>
            </w:pPr>
            <w:hyperlink w:anchor="page120">
              <w:r>
                <w:rPr>
                  <w:rFonts w:ascii="Arial" w:cs="Arial" w:eastAsia="Arial" w:hAnsi="Arial"/>
                  <w:sz w:val="18"/>
                  <w:szCs w:val="18"/>
                  <w:u w:val="single" w:color="auto"/>
                  <w:color w:val="0000EE"/>
                  <w:w w:val="83"/>
                </w:rPr>
                <w:t>S-113</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Certain U.S. Federal Income Tax Consequences</w:t>
              </w:r>
            </w:hyperlink>
          </w:p>
        </w:tc>
        <w:tc>
          <w:tcPr>
            <w:tcW w:w="440" w:type="dxa"/>
            <w:vAlign w:val="bottom"/>
            <w:tcBorders>
              <w:bottom w:val="single" w:sz="8" w:color="CCEEFF"/>
            </w:tcBorders>
            <w:gridSpan w:val="4"/>
            <w:shd w:val="clear" w:color="auto" w:fill="CCEEFF"/>
          </w:tcPr>
          <w:p>
            <w:pPr>
              <w:jc w:val="right"/>
              <w:ind w:right="20"/>
              <w:spacing w:after="0"/>
              <w:rPr>
                <w:rFonts w:ascii="Arial" w:cs="Arial" w:eastAsia="Arial" w:hAnsi="Arial"/>
                <w:sz w:val="18"/>
                <w:szCs w:val="18"/>
                <w:u w:val="single" w:color="auto"/>
                <w:color w:val="0000EE"/>
                <w:w w:val="83"/>
              </w:rPr>
            </w:pPr>
            <w:hyperlink w:anchor="page124">
              <w:r>
                <w:rPr>
                  <w:rFonts w:ascii="Arial" w:cs="Arial" w:eastAsia="Arial" w:hAnsi="Arial"/>
                  <w:sz w:val="18"/>
                  <w:szCs w:val="18"/>
                  <w:u w:val="single" w:color="auto"/>
                  <w:color w:val="0000EE"/>
                  <w:w w:val="83"/>
                </w:rPr>
                <w:t>S-117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Underwriting</w:t>
              </w:r>
            </w:hyperlink>
          </w:p>
        </w:tc>
        <w:tc>
          <w:tcPr>
            <w:tcW w:w="440" w:type="dxa"/>
            <w:vAlign w:val="bottom"/>
            <w:gridSpan w:val="4"/>
          </w:tcPr>
          <w:p>
            <w:pPr>
              <w:jc w:val="right"/>
              <w:spacing w:after="0"/>
              <w:rPr>
                <w:rFonts w:ascii="Arial" w:cs="Arial" w:eastAsia="Arial" w:hAnsi="Arial"/>
                <w:sz w:val="18"/>
                <w:szCs w:val="18"/>
                <w:u w:val="single" w:color="auto"/>
                <w:color w:val="0000EE"/>
                <w:w w:val="87"/>
              </w:rPr>
            </w:pPr>
            <w:hyperlink w:anchor="page129">
              <w:r>
                <w:rPr>
                  <w:rFonts w:ascii="Arial" w:cs="Arial" w:eastAsia="Arial" w:hAnsi="Arial"/>
                  <w:sz w:val="18"/>
                  <w:szCs w:val="18"/>
                  <w:u w:val="single" w:color="auto"/>
                  <w:color w:val="0000EE"/>
                  <w:w w:val="87"/>
                </w:rPr>
                <w:t>S-122</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Legal Matters</w:t>
              </w:r>
            </w:hyperlink>
          </w:p>
        </w:tc>
        <w:tc>
          <w:tcPr>
            <w:tcW w:w="440" w:type="dxa"/>
            <w:vAlign w:val="bottom"/>
            <w:tcBorders>
              <w:bottom w:val="single" w:sz="8" w:color="CCEEFF"/>
            </w:tcBorders>
            <w:gridSpan w:val="4"/>
            <w:shd w:val="clear" w:color="auto" w:fill="CCEEFF"/>
          </w:tcPr>
          <w:p>
            <w:pPr>
              <w:jc w:val="right"/>
              <w:spacing w:after="0"/>
              <w:rPr>
                <w:rFonts w:ascii="Arial" w:cs="Arial" w:eastAsia="Arial" w:hAnsi="Arial"/>
                <w:sz w:val="18"/>
                <w:szCs w:val="18"/>
                <w:u w:val="single" w:color="auto"/>
                <w:color w:val="0000EE"/>
                <w:w w:val="87"/>
              </w:rPr>
            </w:pPr>
            <w:hyperlink w:anchor="page134">
              <w:r>
                <w:rPr>
                  <w:rFonts w:ascii="Arial" w:cs="Arial" w:eastAsia="Arial" w:hAnsi="Arial"/>
                  <w:sz w:val="18"/>
                  <w:szCs w:val="18"/>
                  <w:u w:val="single" w:color="auto"/>
                  <w:color w:val="0000EE"/>
                  <w:w w:val="87"/>
                </w:rPr>
                <w:t>S-127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Experts</w:t>
              </w:r>
            </w:hyperlink>
          </w:p>
        </w:tc>
        <w:tc>
          <w:tcPr>
            <w:tcW w:w="440" w:type="dxa"/>
            <w:vAlign w:val="bottom"/>
            <w:gridSpan w:val="4"/>
          </w:tcPr>
          <w:p>
            <w:pPr>
              <w:jc w:val="right"/>
              <w:spacing w:after="0"/>
              <w:rPr>
                <w:rFonts w:ascii="Arial" w:cs="Arial" w:eastAsia="Arial" w:hAnsi="Arial"/>
                <w:sz w:val="18"/>
                <w:szCs w:val="18"/>
                <w:u w:val="single" w:color="auto"/>
                <w:color w:val="0000EE"/>
                <w:w w:val="87"/>
              </w:rPr>
            </w:pPr>
            <w:hyperlink w:anchor="page134">
              <w:r>
                <w:rPr>
                  <w:rFonts w:ascii="Arial" w:cs="Arial" w:eastAsia="Arial" w:hAnsi="Arial"/>
                  <w:sz w:val="18"/>
                  <w:szCs w:val="18"/>
                  <w:u w:val="single" w:color="auto"/>
                  <w:color w:val="0000EE"/>
                  <w:w w:val="87"/>
                </w:rPr>
                <w:t>S-127</w:t>
              </w:r>
            </w:hyperlink>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Where You Can Find More Information</w:t>
              </w:r>
            </w:hyperlink>
          </w:p>
        </w:tc>
        <w:tc>
          <w:tcPr>
            <w:tcW w:w="440" w:type="dxa"/>
            <w:vAlign w:val="bottom"/>
            <w:tcBorders>
              <w:bottom w:val="single" w:sz="8" w:color="CCEEFF"/>
            </w:tcBorders>
            <w:gridSpan w:val="4"/>
            <w:shd w:val="clear" w:color="auto" w:fill="CCEEFF"/>
          </w:tcPr>
          <w:p>
            <w:pPr>
              <w:jc w:val="right"/>
              <w:spacing w:after="0"/>
              <w:rPr>
                <w:rFonts w:ascii="Arial" w:cs="Arial" w:eastAsia="Arial" w:hAnsi="Arial"/>
                <w:sz w:val="18"/>
                <w:szCs w:val="18"/>
                <w:u w:val="single" w:color="auto"/>
                <w:color w:val="0000EE"/>
                <w:w w:val="87"/>
              </w:rPr>
            </w:pPr>
            <w:hyperlink w:anchor="page134">
              <w:r>
                <w:rPr>
                  <w:rFonts w:ascii="Arial" w:cs="Arial" w:eastAsia="Arial" w:hAnsi="Arial"/>
                  <w:sz w:val="18"/>
                  <w:szCs w:val="18"/>
                  <w:u w:val="single" w:color="auto"/>
                  <w:color w:val="0000EE"/>
                  <w:w w:val="87"/>
                </w:rPr>
                <w:t>S-127</w:t>
              </w:r>
            </w:hyperlink>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Information Incorporated By Reference</w:t>
              </w:r>
            </w:hyperlink>
          </w:p>
        </w:tc>
        <w:tc>
          <w:tcPr>
            <w:tcW w:w="440" w:type="dxa"/>
            <w:vAlign w:val="bottom"/>
            <w:gridSpan w:val="4"/>
          </w:tcPr>
          <w:p>
            <w:pPr>
              <w:jc w:val="right"/>
              <w:spacing w:after="0"/>
              <w:rPr>
                <w:rFonts w:ascii="Arial" w:cs="Arial" w:eastAsia="Arial" w:hAnsi="Arial"/>
                <w:sz w:val="18"/>
                <w:szCs w:val="18"/>
                <w:u w:val="single" w:color="auto"/>
                <w:color w:val="0000EE"/>
                <w:w w:val="87"/>
              </w:rPr>
            </w:pPr>
            <w:hyperlink w:anchor="page135">
              <w:r>
                <w:rPr>
                  <w:rFonts w:ascii="Arial" w:cs="Arial" w:eastAsia="Arial" w:hAnsi="Arial"/>
                  <w:sz w:val="18"/>
                  <w:szCs w:val="18"/>
                  <w:u w:val="single" w:color="auto"/>
                  <w:color w:val="0000EE"/>
                  <w:w w:val="87"/>
                </w:rPr>
                <w:t>S-128</w:t>
              </w:r>
            </w:hyperlink>
          </w:p>
        </w:tc>
      </w:tr>
      <w:tr>
        <w:trPr>
          <w:trHeight w:val="594"/>
        </w:trPr>
        <w:tc>
          <w:tcPr>
            <w:tcW w:w="7980" w:type="dxa"/>
            <w:vAlign w:val="bottom"/>
          </w:tcPr>
          <w:p>
            <w:pPr>
              <w:ind w:left="3780"/>
              <w:spacing w:after="0"/>
              <w:rPr>
                <w:sz w:val="20"/>
                <w:szCs w:val="20"/>
                <w:color w:val="auto"/>
              </w:rPr>
            </w:pPr>
            <w:r>
              <w:rPr>
                <w:rFonts w:ascii="Arial" w:cs="Arial" w:eastAsia="Arial" w:hAnsi="Arial"/>
                <w:sz w:val="18"/>
                <w:szCs w:val="18"/>
                <w:b w:val="1"/>
                <w:bCs w:val="1"/>
                <w:color w:val="auto"/>
              </w:rPr>
              <w:t>Prospectus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7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About This Prospectus</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38">
              <w:r>
                <w:rPr>
                  <w:rFonts w:ascii="Arial" w:cs="Arial" w:eastAsia="Arial" w:hAnsi="Arial"/>
                  <w:sz w:val="18"/>
                  <w:szCs w:val="18"/>
                  <w:color w:val="0000EE"/>
                </w:rPr>
                <w:t>1</w:t>
              </w:r>
            </w:hyperlink>
          </w:p>
        </w:tc>
        <w:tc>
          <w:tcPr>
            <w:tcW w:w="20" w:type="dxa"/>
            <w:vAlign w:val="bottom"/>
            <w:shd w:val="clear" w:color="auto" w:fill="CCEEFF"/>
          </w:tcPr>
          <w:p>
            <w:pPr>
              <w:spacing w:after="0"/>
              <w:rPr>
                <w:sz w:val="24"/>
                <w:szCs w:val="24"/>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About Us</w:t>
              </w:r>
            </w:hyperlink>
          </w:p>
        </w:tc>
        <w:tc>
          <w:tcPr>
            <w:tcW w:w="420" w:type="dxa"/>
            <w:vAlign w:val="bottom"/>
            <w:gridSpan w:val="3"/>
          </w:tcPr>
          <w:p>
            <w:pPr>
              <w:jc w:val="right"/>
              <w:ind w:right="160"/>
              <w:spacing w:after="0"/>
              <w:rPr>
                <w:rFonts w:ascii="Arial" w:cs="Arial" w:eastAsia="Arial" w:hAnsi="Arial"/>
                <w:sz w:val="18"/>
                <w:szCs w:val="18"/>
                <w:color w:val="0000EE"/>
              </w:rPr>
            </w:pPr>
            <w:hyperlink w:anchor="page139">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Cautionary Note Regarding Forward-Looking Statements</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40">
              <w:r>
                <w:rPr>
                  <w:rFonts w:ascii="Arial" w:cs="Arial" w:eastAsia="Arial" w:hAnsi="Arial"/>
                  <w:sz w:val="18"/>
                  <w:szCs w:val="18"/>
                  <w:color w:val="0000EE"/>
                </w:rPr>
                <w:t>3</w:t>
              </w:r>
            </w:hyperlink>
          </w:p>
        </w:tc>
        <w:tc>
          <w:tcPr>
            <w:tcW w:w="20" w:type="dxa"/>
            <w:vAlign w:val="bottom"/>
            <w:shd w:val="clear" w:color="auto" w:fill="CCEEFF"/>
          </w:tcPr>
          <w:p>
            <w:pPr>
              <w:spacing w:after="0"/>
              <w:rPr>
                <w:sz w:val="19"/>
                <w:szCs w:val="19"/>
                <w:color w:val="auto"/>
              </w:rPr>
            </w:pPr>
          </w:p>
        </w:tc>
      </w:tr>
      <w:tr>
        <w:trPr>
          <w:trHeight w:val="75"/>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Risk Factors</w:t>
              </w:r>
            </w:hyperlink>
          </w:p>
        </w:tc>
        <w:tc>
          <w:tcPr>
            <w:tcW w:w="420" w:type="dxa"/>
            <w:vAlign w:val="bottom"/>
            <w:gridSpan w:val="3"/>
          </w:tcPr>
          <w:p>
            <w:pPr>
              <w:jc w:val="right"/>
              <w:ind w:right="160"/>
              <w:spacing w:after="0"/>
              <w:rPr>
                <w:rFonts w:ascii="Arial" w:cs="Arial" w:eastAsia="Arial" w:hAnsi="Arial"/>
                <w:sz w:val="18"/>
                <w:szCs w:val="18"/>
                <w:color w:val="0000EE"/>
              </w:rPr>
            </w:pPr>
            <w:hyperlink w:anchor="page142">
              <w:r>
                <w:rPr>
                  <w:rFonts w:ascii="Arial" w:cs="Arial" w:eastAsia="Arial" w:hAnsi="Arial"/>
                  <w:sz w:val="18"/>
                  <w:szCs w:val="18"/>
                  <w:color w:val="0000EE"/>
                </w:rPr>
                <w:t>5</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Use of Proceeds</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43">
              <w:r>
                <w:rPr>
                  <w:rFonts w:ascii="Arial" w:cs="Arial" w:eastAsia="Arial" w:hAnsi="Arial"/>
                  <w:sz w:val="18"/>
                  <w:szCs w:val="18"/>
                  <w:color w:val="0000EE"/>
                </w:rPr>
                <w:t>6</w:t>
              </w:r>
            </w:hyperlink>
          </w:p>
        </w:tc>
        <w:tc>
          <w:tcPr>
            <w:tcW w:w="20" w:type="dxa"/>
            <w:vAlign w:val="bottom"/>
            <w:shd w:val="clear" w:color="auto" w:fill="CCEEFF"/>
          </w:tcPr>
          <w:p>
            <w:pPr>
              <w:spacing w:after="0"/>
              <w:rPr>
                <w:sz w:val="19"/>
                <w:szCs w:val="19"/>
                <w:color w:val="auto"/>
              </w:rPr>
            </w:pPr>
          </w:p>
        </w:tc>
      </w:tr>
      <w:tr>
        <w:trPr>
          <w:trHeight w:val="74"/>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Description of Debt Securities and Guarantees of Debt Securities</w:t>
              </w:r>
            </w:hyperlink>
          </w:p>
        </w:tc>
        <w:tc>
          <w:tcPr>
            <w:tcW w:w="420" w:type="dxa"/>
            <w:vAlign w:val="bottom"/>
            <w:gridSpan w:val="3"/>
          </w:tcPr>
          <w:p>
            <w:pPr>
              <w:jc w:val="right"/>
              <w:ind w:right="160"/>
              <w:spacing w:after="0"/>
              <w:rPr>
                <w:rFonts w:ascii="Arial" w:cs="Arial" w:eastAsia="Arial" w:hAnsi="Arial"/>
                <w:sz w:val="18"/>
                <w:szCs w:val="18"/>
                <w:color w:val="0000EE"/>
              </w:rPr>
            </w:pPr>
            <w:hyperlink w:anchor="page144">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5"/>
        </w:trPr>
        <w:tc>
          <w:tcPr>
            <w:tcW w:w="7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Plan of Distribution</w:t>
              </w:r>
            </w:hyperlink>
          </w:p>
        </w:tc>
        <w:tc>
          <w:tcPr>
            <w:tcW w:w="420" w:type="dxa"/>
            <w:vAlign w:val="bottom"/>
            <w:gridSpan w:val="3"/>
            <w:shd w:val="clear" w:color="auto" w:fill="CCEEFF"/>
          </w:tcPr>
          <w:p>
            <w:pPr>
              <w:jc w:val="right"/>
              <w:ind w:right="160"/>
              <w:spacing w:after="0"/>
              <w:rPr>
                <w:rFonts w:ascii="Arial" w:cs="Arial" w:eastAsia="Arial" w:hAnsi="Arial"/>
                <w:sz w:val="18"/>
                <w:szCs w:val="18"/>
                <w:color w:val="0000EE"/>
              </w:rPr>
            </w:pPr>
            <w:hyperlink w:anchor="page145">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79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Legal Matters</w:t>
              </w:r>
            </w:hyperlink>
          </w:p>
        </w:tc>
        <w:tc>
          <w:tcPr>
            <w:tcW w:w="420" w:type="dxa"/>
            <w:vAlign w:val="bottom"/>
            <w:gridSpan w:val="3"/>
          </w:tcPr>
          <w:p>
            <w:pPr>
              <w:jc w:val="right"/>
              <w:ind w:right="1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10</w:t>
              </w:r>
            </w:hyperlink>
          </w:p>
        </w:tc>
        <w:tc>
          <w:tcPr>
            <w:tcW w:w="20" w:type="dxa"/>
            <w:vAlign w:val="bottom"/>
          </w:tcPr>
          <w:p>
            <w:pPr>
              <w:spacing w:after="0"/>
              <w:rPr>
                <w:sz w:val="23"/>
                <w:szCs w:val="23"/>
                <w:color w:val="auto"/>
              </w:rPr>
            </w:pPr>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Experts</w:t>
              </w:r>
            </w:hyperlink>
          </w:p>
        </w:tc>
        <w:tc>
          <w:tcPr>
            <w:tcW w:w="420" w:type="dxa"/>
            <w:vAlign w:val="bottom"/>
            <w:tcBorders>
              <w:bottom w:val="single" w:sz="8" w:color="CCEEFF"/>
            </w:tcBorders>
            <w:gridSpan w:val="3"/>
            <w:shd w:val="clear" w:color="auto" w:fill="CCEEFF"/>
          </w:tcPr>
          <w:p>
            <w:pPr>
              <w:jc w:val="right"/>
              <w:ind w:right="1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10</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98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Where You Can Find More Information</w:t>
              </w:r>
            </w:hyperlink>
          </w:p>
        </w:tc>
        <w:tc>
          <w:tcPr>
            <w:tcW w:w="420" w:type="dxa"/>
            <w:vAlign w:val="bottom"/>
            <w:gridSpan w:val="3"/>
          </w:tcPr>
          <w:p>
            <w:pPr>
              <w:jc w:val="right"/>
              <w:ind w:right="1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10</w:t>
              </w:r>
            </w:hyperlink>
          </w:p>
        </w:tc>
        <w:tc>
          <w:tcPr>
            <w:tcW w:w="20" w:type="dxa"/>
            <w:vAlign w:val="bottom"/>
          </w:tcPr>
          <w:p>
            <w:pPr>
              <w:spacing w:after="0"/>
              <w:rPr>
                <w:sz w:val="23"/>
                <w:szCs w:val="23"/>
                <w:color w:val="auto"/>
              </w:rPr>
            </w:pPr>
          </w:p>
        </w:tc>
      </w:tr>
      <w:tr>
        <w:trPr>
          <w:trHeight w:val="54"/>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shd w:val="clear" w:color="auto" w:fill="CCEEFF"/>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Information Incorporated by Reference</w:t>
              </w:r>
            </w:hyperlink>
          </w:p>
        </w:tc>
        <w:tc>
          <w:tcPr>
            <w:tcW w:w="420" w:type="dxa"/>
            <w:vAlign w:val="bottom"/>
            <w:gridSpan w:val="3"/>
            <w:shd w:val="clear" w:color="auto" w:fill="CCEEFF"/>
          </w:tcPr>
          <w:p>
            <w:pPr>
              <w:jc w:val="right"/>
              <w:ind w:right="1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11</w:t>
              </w:r>
            </w:hyperlink>
          </w:p>
        </w:tc>
        <w:tc>
          <w:tcPr>
            <w:tcW w:w="20" w:type="dxa"/>
            <w:vAlign w:val="bottom"/>
            <w:shd w:val="clear" w:color="auto" w:fill="CCEEFF"/>
          </w:tcPr>
          <w:p>
            <w:pPr>
              <w:spacing w:after="0"/>
              <w:rPr>
                <w:sz w:val="23"/>
                <w:szCs w:val="23"/>
                <w:color w:val="auto"/>
              </w:rPr>
            </w:pPr>
          </w:p>
        </w:tc>
      </w:tr>
      <w:tr>
        <w:trPr>
          <w:trHeight w:val="54"/>
        </w:trPr>
        <w:tc>
          <w:tcPr>
            <w:tcW w:w="79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-6857365</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Neither we nor the underwriters named under “Underwriting” in this prospectus supplement (the “underwriters”) have authorized any other person to provide you with information different from that contained in or incorporated by reference in this prospectus supplement and the accompanying prospectus or in any related free writing prospectus that we may provide to you. We take no responsibility for, and can provide no assurance as to the reliability of, any other information that others may give. We are offering to sell and are seeking offers to buy the Notes only in jurisdictions where offers and sales are permitted. The information contained in or incorporated by reference in this prospectus supplement, the accompanying prospectus and any related free writing prospectus is accurate only as of the respective dates of such documents regardless of the time of delivery of this prospectus supplement, the accompanying prospectus, any related free writing prospectus or any sale of the Notes. Our business, financial condition, results of operations and prospects may have changed since such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37"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the Notes and also adds to and updates information contained in the accompanying prospectus and the documents incorporated by reference in this prospectus supplement and the accompanying prospectus. The second part is the accompanying prospectus, which gives more general information. Generally, when we refer to this prospectus, we are referring to both parts of this document combined. To the extent there is a conflict between the information contained in the accompanying prospectus and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 or this prospectus supplement—the statement in the document having the later date modifies or supersedes the earlier statement.</w:t>
      </w:r>
    </w:p>
    <w:p>
      <w:pPr>
        <w:spacing w:after="0" w:line="77"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As permitted by the rules and regulations of the Securities and Exchange Commission (the “SEC”), the registration statement of which the accompanying prospectus forms a part includes additional information not contained in this prospectus supplement. You may read the registration statement and the other reports we file with the SEC at the SEC’s website described below under the heading “Where You Can Find More Information.”</w:t>
      </w:r>
    </w:p>
    <w:p>
      <w:pPr>
        <w:spacing w:after="0" w:line="49"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You should read this prospectus supplement along with the accompanying prospectus, any related free writing prospectus and the documents incorporated by reference carefully before you decide whether to invest. These documents contain important information you should consider when making your investment decision. This prospectus supplement contains information about the securities offered in this offering and may add, update or change information in the accompanying prospectus.</w:t>
      </w:r>
    </w:p>
    <w:p>
      <w:pPr>
        <w:spacing w:after="0" w:line="80" w:lineRule="exact"/>
        <w:rPr>
          <w:sz w:val="20"/>
          <w:szCs w:val="20"/>
          <w:color w:val="auto"/>
        </w:rPr>
      </w:pPr>
    </w:p>
    <w:p>
      <w:pPr>
        <w:ind w:left="300" w:right="299" w:firstLine="360"/>
        <w:spacing w:after="0" w:line="270" w:lineRule="auto"/>
        <w:rPr>
          <w:rFonts w:ascii="Arial" w:cs="Arial" w:eastAsia="Arial" w:hAnsi="Arial"/>
          <w:sz w:val="17"/>
          <w:szCs w:val="17"/>
          <w:color w:val="auto"/>
        </w:rPr>
      </w:pPr>
      <w:r>
        <w:rPr>
          <w:rFonts w:ascii="Arial" w:cs="Arial" w:eastAsia="Arial" w:hAnsi="Arial"/>
          <w:sz w:val="17"/>
          <w:szCs w:val="17"/>
          <w:color w:val="auto"/>
        </w:rPr>
        <w:t>In this prospectus supplement, unless stated otherwise or the context indicates otherwise, references to “T-Mobile,” the “Company,” “our Company,” “we,” “our,” “ours” and “us” refer to T-Mobile US, Inc. together with its direct and indirect domestic subsidiaries, including T-Mobile USA and its subsidiaries and, on and after April 1, 2020, Sprint Corporation, a Delaware corporation (“Sprint”) and its subsidiaries. References to “T-Mobile USA” and the “Issuer” refer to T-Mobile USA, Inc. only. T-Mobile USA’s corporate parent is T-Mobile US, Inc., which we refer to in this prospectus supplement on a stand-alone basis as “T-Mobile US” or “Parent.” T-Mobile US has no operations separate from its investment in T-Mobile USA. Accordingly, unless otherwise noted, all of the business and financial information in this prospectus supplement, including the factors identified under “Risk Factors” beginning on page S-</w:t>
      </w:r>
      <w:hyperlink w:anchor="page24">
        <w:r>
          <w:rPr>
            <w:rFonts w:ascii="Arial" w:cs="Arial" w:eastAsia="Arial" w:hAnsi="Arial"/>
            <w:sz w:val="17"/>
            <w:szCs w:val="17"/>
            <w:u w:val="single" w:color="auto"/>
            <w:color w:val="0000EE"/>
          </w:rPr>
          <w:t>17</w:t>
        </w:r>
      </w:hyperlink>
      <w:r>
        <w:rPr>
          <w:rFonts w:ascii="Arial" w:cs="Arial" w:eastAsia="Arial" w:hAnsi="Arial"/>
          <w:sz w:val="17"/>
          <w:szCs w:val="17"/>
          <w:color w:val="auto"/>
        </w:rPr>
        <w:t>, is presented on a consolidated basis for T-Mobile.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OTHER DATA AND FORECASTS</w:t>
      </w:r>
    </w:p>
    <w:p>
      <w:pPr>
        <w:spacing w:after="0" w:line="121"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Market data and other statistical information used in this prospectus supplement, the accompanying prospectus or any related free writing prospectus or incorporated by reference in this prospectus supplement, the accompanying prospectus or any related free writing prospectus are based on independent industry publications, government publications, reports by market research firms and other published independent sources. Some data is also based on our good faith estimates, which we derive from our review of internal surveys and independent sources. Although we believe these sources are reliable, we have not independently verified the information. We neither guarantee its accuracy nor undertake a duty to provide or update such data in the future.</w:t>
      </w:r>
    </w:p>
    <w:p>
      <w:pPr>
        <w:spacing w:after="0" w:line="25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21"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This prospectus supplement, the accompanying prospectus, any related free writing prospectus and the documents incorporated by reference in this prospectus supplement, the accompanying prospectus or any related free writing prospectus may include trademarks, trade names and service marks owned by us or other companies. All trademarks, trade names and service marks included or incorporated by reference in this prospectus supplement, the accompanying prospectus, any related free writing prospectus and the documents incorporated by reference in this prospectus supplement, the accompanying prospectus or any related free writing prospectus are the property of their respective owners.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ROUNDING</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Certain numbers and percentages presented in this prospectus supplement may not sum to the totals presented due to rounding.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439" w:firstLine="360"/>
        <w:spacing w:after="0" w:line="288" w:lineRule="auto"/>
        <w:rPr>
          <w:sz w:val="20"/>
          <w:szCs w:val="20"/>
          <w:color w:val="auto"/>
        </w:rPr>
      </w:pPr>
      <w:r>
        <w:rPr>
          <w:rFonts w:ascii="Arial" w:cs="Arial" w:eastAsia="Arial" w:hAnsi="Arial"/>
          <w:sz w:val="16"/>
          <w:szCs w:val="16"/>
          <w:color w:val="auto"/>
        </w:rPr>
        <w:t>Certain statements in this prospectus supplement, the accompanying prospectus, any related free writing prospectus, the documents incorporated by reference and our other public statements include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risk factors identified under “Risk Factors” and the risk factors incorporated by reference herein, could affect future results and cause those results to differ materially from those expressed in the forward-looking statements:</w:t>
      </w:r>
    </w:p>
    <w:p>
      <w:pPr>
        <w:spacing w:after="0" w:line="60" w:lineRule="exact"/>
        <w:rPr>
          <w:sz w:val="20"/>
          <w:szCs w:val="20"/>
          <w:color w:val="auto"/>
        </w:rPr>
      </w:pPr>
    </w:p>
    <w:p>
      <w:pPr>
        <w:ind w:left="1000" w:right="7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condition for wireless services;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loss or other security breaches;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scarcity and cost of additional wireless spectrum, and regulations relating to spectrum use;</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retain or motivate key personnel, hire qualified personnel or maintain our corporate culture;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take advantage of technological developments on a timely basis;</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failures and business disruptions, allowing for unauthorized use of or interference with our network and other systems;</w:t>
      </w:r>
    </w:p>
    <w:p>
      <w:pPr>
        <w:spacing w:after="0" w:line="62" w:lineRule="exact"/>
        <w:rPr>
          <w:rFonts w:ascii="Arial" w:cs="Arial" w:eastAsia="Arial" w:hAnsi="Arial"/>
          <w:sz w:val="18"/>
          <w:szCs w:val="18"/>
          <w:color w:val="auto"/>
        </w:rPr>
      </w:pPr>
    </w:p>
    <w:p>
      <w:pPr>
        <w:ind w:left="1000" w:right="419" w:hanging="348"/>
        <w:spacing w:after="0" w:line="287"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impacts of the actions we have taken and conditions we have agreed to in connection with the regulatory proceedings and approvals of the Transactions (as defined below), including the prepaid transaction, the complaint and proposed final judgment (the “Consent Decree”) agreed to by us, Deutsche Telekom AG (“DT”), Sprint, SoftBank Group Corp. (“SoftBank”) and DISH Network Corporation (“DISH”) with the U.S. District Court for the District of Columbia, which was approved by the Court on April 1, 2020, the proposed commitments filed with the Secretary of the Federal Communications Commission (“FCC”), which we announced on May 20, 2019, certain national security commitments and undertakings, and any other commitments or undertakings entered into including but not limited to those we have made to certain states and nongovernmental organizations (collectively, the “Government Commitments”), and the challenges in satisfying the Government Commitments in the required time frames and the significant cumulative cost incurred in tracking, monitoring and complying with them;</w:t>
      </w:r>
    </w:p>
    <w:p>
      <w:pPr>
        <w:spacing w:after="0" w:line="63"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manage the ongoing commercial and transition services arrangements that we entered into with DISH in connection with the prepaid transaction, which we completed on July 1, 2020, and known or unknown liabilities arising in connection therewith;</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any future acquisition, investment, or merger involving us;</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disruption or failure of our third parties (including key suppliers) to provide products or services for the operation of our business;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high fraud rates or volumes related to device financing, customer payment cards, third-party dealers, employees, subscriptions, identities or account takeover fraud;</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level of indebtedness and our inability to service our debt obligations in accordance with their terms or to comply with the restrictive covenants contained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future material weaknesses we may identify while we work to integrate and align policies, principles and practices of the two companies following the Merger (as defined below), or any other failure by us to maintain effective internal controls, and the resulting significant costs and reputational damage;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regulations or in the regulatory framework under which we operate;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privacy and data protection;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outcomes of existing or future legal proceedings;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offering of regulated financial services products and exposure to a wide variety of state and federal regulations;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amended tax laws or regulations or administrative interpretations and judicial decisions affecting the scope or application of tax laws or regulations;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the possible revocation of our existing licenses in the event that we violate applicable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sales of our common stock by DT and SoftBank and our inability to attract additional equity financing outside the United States due to foreign ownership limitations by the FCC;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volatility of our stock price and our lack of plan to pay cash dividends in the foreseeable future;</w:t>
      </w:r>
    </w:p>
    <w:p>
      <w:pPr>
        <w:spacing w:after="0" w:line="128" w:lineRule="exact"/>
        <w:rPr>
          <w:rFonts w:ascii="Arial" w:cs="Arial" w:eastAsia="Arial" w:hAnsi="Arial"/>
          <w:sz w:val="17"/>
          <w:szCs w:val="17"/>
          <w:color w:val="auto"/>
        </w:rPr>
      </w:pPr>
    </w:p>
    <w:p>
      <w:pPr>
        <w:ind w:left="1000" w:right="379" w:hanging="348"/>
        <w:spacing w:after="0" w:line="25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(the “Merger”) with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or in the amounts anticipated;</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delay and costs of, or difficulties in, integrating our business and Sprint's business and operations, and unexpected additional operating costs, customer loss and business disruption, including maintaining relationships with employees, customers, suppliers or vendors;</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difficulties, disruption, or significant delays in our long-term strategy to migrate Sprint's legacy customers onto T-Mobile's existing billing platforms; and</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existing or the issuance of new accounting standards by the Financial Accounting Standards Board or other regulatory agencies.</w:t>
      </w:r>
    </w:p>
    <w:p>
      <w:pPr>
        <w:spacing w:after="0" w:line="62"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section titled “Risk Factors” in this prospectus supplement and the documents incorporated by reference.</w:t>
      </w:r>
    </w:p>
    <w:p>
      <w:pPr>
        <w:spacing w:after="0" w:line="62"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Forward-looking statements in this prospectus supplement, the accompanying prospectus, any related free writing prospectus or the documents incorporated by reference speak only as of the date of this prospectus supplement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58" w:lineRule="exact"/>
        <w:rPr>
          <w:sz w:val="20"/>
          <w:szCs w:val="20"/>
          <w:color w:val="auto"/>
        </w:rPr>
      </w:pPr>
    </w:p>
    <w:p>
      <w:pPr>
        <w:jc w:val="both"/>
        <w:ind w:left="300" w:right="719" w:firstLine="360"/>
        <w:spacing w:after="0" w:line="279" w:lineRule="auto"/>
        <w:rPr>
          <w:sz w:val="20"/>
          <w:szCs w:val="20"/>
          <w:color w:val="auto"/>
        </w:rPr>
      </w:pPr>
      <w:r>
        <w:rPr>
          <w:rFonts w:ascii="Arial" w:cs="Arial" w:eastAsia="Arial" w:hAnsi="Arial"/>
          <w:sz w:val="17"/>
          <w:szCs w:val="17"/>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82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39" w:firstLine="360"/>
        <w:spacing w:after="0" w:line="271"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summary highlights selected information about us contained elsewhere or incorporated by reference in this prospectus supplement, the accompanying prospectus and any related free writing prospectus. This summary does not contain all of the information you should consider before deciding whether to invest in the Notes. You should review this entire prospectus supplement, the accompanying prospectus and any related free writing prospectus carefully, including the risks of investing in the Notes described under the heading “Risk Factors” beginning on page S-</w:t>
      </w:r>
      <w:hyperlink w:anchor="page24">
        <w:r>
          <w:rPr>
            <w:rFonts w:ascii="Arial" w:cs="Arial" w:eastAsia="Arial" w:hAnsi="Arial"/>
            <w:sz w:val="17"/>
            <w:szCs w:val="17"/>
            <w:i w:val="1"/>
            <w:iCs w:val="1"/>
            <w:u w:val="single" w:color="auto"/>
            <w:color w:val="0000EE"/>
          </w:rPr>
          <w:t>17</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in this prospectus supplement, as well as our and Sprint’s consolidated financial statements and notes thereto and other information incorporated by reference in this prospectus supplement, the accompanying prospectus and any related free writing prospectus.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 exceptional experience and implementing signature Un-carrier initiatives that have changed the wireless industry. We ended annual service contracts, overages, unpredictable international roaming fees, data buckets and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ind w:left="320" w:right="279" w:firstLine="360"/>
        <w:spacing w:after="0" w:line="268" w:lineRule="auto"/>
        <w:rPr>
          <w:sz w:val="20"/>
          <w:szCs w:val="20"/>
          <w:color w:val="auto"/>
        </w:rPr>
      </w:pPr>
      <w:r>
        <w:rPr>
          <w:rFonts w:ascii="Arial" w:cs="Arial" w:eastAsia="Arial" w:hAnsi="Arial"/>
          <w:sz w:val="17"/>
          <w:szCs w:val="17"/>
          <w:color w:val="auto"/>
        </w:rPr>
        <w:t>The Un-carrier was supercharged upon the completion of our Merger with Sprint on April 1, 2020, which resulted in Sprint and its subsidiaries becoming wholly owned consolidated subsidiaries of T-Mobile. Through the Merger, we acquired Sprint’s customers and 2.5 GHz mid-band spectrum, among other assets. As the supercharged Un-carrier, we are on a mission to build America’s best 5G network, offering customers unrivalled coverage and capacity where they live, work and play. Our network is the foundation of our success and powers everything we do. As one company, we have begun to combine our mid-band spectrum licenses, including Advanced Wireless Services (“AWS”), Personal Communications Services (“PCS”) and 2.5 GHz, our millimeter-wave licenses and our foundational layer of low-band spectrum, including 600 MHz, 700 MHz and 800 MHz, to create a “layer cake” of spectrum and provide an unmatched 5G experience to our customers. We believe this layer cake will broaden and deepen our nationwide 5G network enabling accelerated innovation and increased competition in the U.S. wireless, video and broadband industries. We have achieved and expect to continue to achieve significant synergies and cost reductions by eliminating redundancies within the combined network as well as other business processes and operations.</w:t>
      </w:r>
    </w:p>
    <w:p>
      <w:pPr>
        <w:spacing w:after="0" w:line="78"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Our 4G Long-Term Evolution (“LTE”) network covers 328 million people (99% of the U.S. population). Additionally, our 5G network is America’s largest, covering 1.6 million square miles, 280 million people and 9,100 cities and towns across the United States, including Puerto Rico and the U.S. Virgin Islands, as of December 31, 2020.</w:t>
      </w:r>
    </w:p>
    <w:p>
      <w:pPr>
        <w:spacing w:after="0" w:line="79" w:lineRule="exact"/>
        <w:rPr>
          <w:sz w:val="20"/>
          <w:szCs w:val="20"/>
          <w:color w:val="auto"/>
        </w:rPr>
      </w:pPr>
    </w:p>
    <w:p>
      <w:pPr>
        <w:ind w:left="320" w:right="419" w:firstLine="360"/>
        <w:spacing w:after="0" w:line="257" w:lineRule="auto"/>
        <w:rPr>
          <w:sz w:val="20"/>
          <w:szCs w:val="20"/>
          <w:color w:val="auto"/>
        </w:rPr>
      </w:pPr>
      <w:r>
        <w:rPr>
          <w:rFonts w:ascii="Arial" w:cs="Arial" w:eastAsia="Arial" w:hAnsi="Arial"/>
          <w:sz w:val="18"/>
          <w:szCs w:val="18"/>
          <w:color w:val="auto"/>
        </w:rPr>
        <w:t>We continue to expand the footprint and improve the quality of our network, providing outstanding wireless experiences for customers who will not have to compromise on quality and value. Going forward, it is this network that will allow us to deliver new, innovative products and services with the same customer experience focus and industry-disrupting mentality that has redefined the wireless communications services industry in the United States in the customers’ favor.</w:t>
      </w:r>
    </w:p>
    <w:p>
      <w:pPr>
        <w:spacing w:after="0" w:line="80" w:lineRule="exact"/>
        <w:rPr>
          <w:sz w:val="20"/>
          <w:szCs w:val="20"/>
          <w:color w:val="auto"/>
        </w:rPr>
      </w:pPr>
    </w:p>
    <w:p>
      <w:pPr>
        <w:ind w:left="320" w:right="399" w:firstLine="360"/>
        <w:spacing w:after="0" w:line="269" w:lineRule="auto"/>
        <w:rPr>
          <w:sz w:val="20"/>
          <w:szCs w:val="20"/>
          <w:color w:val="auto"/>
        </w:rPr>
      </w:pPr>
      <w:r>
        <w:rPr>
          <w:rFonts w:ascii="Arial" w:cs="Arial" w:eastAsia="Arial" w:hAnsi="Arial"/>
          <w:sz w:val="17"/>
          <w:szCs w:val="17"/>
          <w:color w:val="auto"/>
        </w:rPr>
        <w:t>As of December 31, 2020, we provide wireless services to 102.1 million postpaid and prepaid customers and generate revenue by providing affordable wireless communications services to these customers, as well as a wide selection of wireless devices and accessories. Our most significant expenses relate to operating and expanding our network, providing a full range of devices, acquiring and retaining high-quality customers and compensating employees. We provide service, devices and accessories across our flagship brands, T-Mobile and Metro by T-Mobile, through our owned and operated retail stores, as well as through our websites (www.t-mobile.com and www.metrobyt-mobile.com), T-Mobile app and customer care channels. In addition, we sell devices to dealers and other third-party distributors for resale through independent third-party retail outlets and a variety of third-party websites. The information on our websites is not incorporated into or part of this prospectus supplement (except for our SEC reports expressly incorporated by reference herein).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947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69475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339" w:firstLine="360"/>
        <w:spacing w:after="0" w:line="293" w:lineRule="auto"/>
        <w:rPr>
          <w:sz w:val="20"/>
          <w:szCs w:val="20"/>
          <w:color w:val="auto"/>
        </w:rPr>
      </w:pPr>
      <w:r>
        <w:rPr>
          <w:rFonts w:ascii="Arial" w:cs="Arial" w:eastAsia="Arial" w:hAnsi="Arial"/>
          <w:sz w:val="16"/>
          <w:szCs w:val="16"/>
          <w:color w:val="auto"/>
        </w:rPr>
        <w:t>Our corporate headquarters and principal executive offices are located at 12920 SE 38th Street, Bellevue, Washington 98006. Our telephone number is (425) 378-4000. We maintain a website at www.T-Mobile.com where our Annual Reports on Form 10-K, Quarterly Reports on Form 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supplement (except for our SEC reports expressly incorporated by reference herein).</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Structure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the corporate structure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5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“Description of Other Indebtedness and Certain Financing Transactions.”</w:t>
      </w:r>
    </w:p>
    <w:p>
      <w:pPr>
        <w:spacing w:after="0" w:line="41" w:lineRule="exact"/>
        <w:rPr>
          <w:rFonts w:ascii="Arial" w:cs="Arial" w:eastAsia="Arial" w:hAnsi="Arial"/>
          <w:sz w:val="14"/>
          <w:szCs w:val="14"/>
          <w:color w:val="auto"/>
        </w:rPr>
      </w:pPr>
    </w:p>
    <w:p>
      <w:pPr>
        <w:ind w:left="660" w:right="299" w:hanging="350"/>
        <w:spacing w:after="0" w:line="226"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Certain subsidiaries of the Issuer will not provide guarantees of the Notes, the Existing T-Mobile Unsecured Notes (as defined under “Description of Other Indebtedness and Certain Financing Transactions—Existing T-Mobile Unsecured Notes”) and the Existing T-Mobile Secured Notes (as defined under “Description of Other Indebtedness and Certain Financing Transactions—Existing T-Mobile Secured Notes”) (such as certain designated special purpose entities, a reinsurance subsidiary and immaterial subsidiaries). See “Description of Notes—Brief Description of the Notes and the Note Guarantees—The Note Guarantees.” Assuming that on December 31, 2020, we had completed the Q1 Notes Issuances (as defined under “—Recent Developments—Notes Issuances”) and the issuance of the Notes and all the Guarantees were in place, subsidiaries that will not provide guarantees of the Notes that were included in Parent’s consolidated financial statements as of such date had approximately $12.2 billion of total assets and approximately $6.7 billion in indebtedness and Tower Obligations (as defined under “Description of Other Indebtedness and Certain Financing Transactions—Existing T-Mobile Tower Transactions”) outstanding.</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Notes Issuances</w:t>
      </w:r>
    </w:p>
    <w:p>
      <w:pPr>
        <w:spacing w:after="0" w:line="117" w:lineRule="exact"/>
        <w:rPr>
          <w:sz w:val="20"/>
          <w:szCs w:val="20"/>
          <w:color w:val="auto"/>
        </w:rPr>
      </w:pPr>
    </w:p>
    <w:p>
      <w:pPr>
        <w:ind w:left="320" w:right="459" w:firstLine="360"/>
        <w:spacing w:after="0" w:line="259" w:lineRule="auto"/>
        <w:rPr>
          <w:sz w:val="20"/>
          <w:szCs w:val="20"/>
          <w:color w:val="auto"/>
        </w:rPr>
      </w:pPr>
      <w:r>
        <w:rPr>
          <w:rFonts w:ascii="Arial" w:cs="Arial" w:eastAsia="Arial" w:hAnsi="Arial"/>
          <w:sz w:val="18"/>
          <w:szCs w:val="18"/>
          <w:color w:val="auto"/>
        </w:rPr>
        <w:t>On January 14, 2021, the Issuer issued $1.0 billion in aggregate principal amount of its 2.250% Senior Notes due 2026, $1.0 billion in aggregate principal amount of its 2.625% Senior Notes due 2029 and $1.0 billion in aggregate principal amount of its 2.875% Senior Notes due 2031. Such issuances are referred to collectively as the “Q1 Notes Issuances”.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 Date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Interest Payment Dates</w:t>
      </w:r>
    </w:p>
    <w:p>
      <w:pPr>
        <w:spacing w:after="0" w:line="3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T-Mobile USA, Inc.</w:t>
      </w:r>
    </w:p>
    <w:p>
      <w:pPr>
        <w:spacing w:after="0" w:line="144" w:lineRule="exact"/>
        <w:rPr>
          <w:sz w:val="20"/>
          <w:szCs w:val="20"/>
          <w:color w:val="auto"/>
        </w:rPr>
      </w:pPr>
    </w:p>
    <w:p>
      <w:pPr>
        <w:ind w:left="620" w:right="459"/>
        <w:spacing w:after="0" w:line="277" w:lineRule="auto"/>
        <w:rPr>
          <w:sz w:val="20"/>
          <w:szCs w:val="20"/>
          <w:color w:val="auto"/>
        </w:rPr>
      </w:pPr>
      <w:r>
        <w:rPr>
          <w:rFonts w:ascii="Arial" w:cs="Arial" w:eastAsia="Arial" w:hAnsi="Arial"/>
          <w:sz w:val="18"/>
          <w:szCs w:val="18"/>
          <w:color w:val="auto"/>
        </w:rPr>
        <w:t>$1,200,000,000 aggregate principal amount of 2.625% Senior Notes due 2026.</w:t>
      </w:r>
    </w:p>
    <w:p>
      <w:pPr>
        <w:spacing w:after="0" w:line="62" w:lineRule="exact"/>
        <w:rPr>
          <w:sz w:val="20"/>
          <w:szCs w:val="20"/>
          <w:color w:val="auto"/>
        </w:rPr>
      </w:pPr>
    </w:p>
    <w:p>
      <w:pPr>
        <w:ind w:left="620" w:right="459"/>
        <w:spacing w:after="0" w:line="277" w:lineRule="auto"/>
        <w:rPr>
          <w:sz w:val="20"/>
          <w:szCs w:val="20"/>
          <w:color w:val="auto"/>
        </w:rPr>
      </w:pPr>
      <w:r>
        <w:rPr>
          <w:rFonts w:ascii="Arial" w:cs="Arial" w:eastAsia="Arial" w:hAnsi="Arial"/>
          <w:sz w:val="18"/>
          <w:szCs w:val="18"/>
          <w:color w:val="auto"/>
        </w:rPr>
        <w:t>$1,250,000,000 aggregate principal amount of 3.375% Senior Notes due 2029.</w:t>
      </w:r>
    </w:p>
    <w:p>
      <w:pPr>
        <w:spacing w:after="0" w:line="62" w:lineRule="exact"/>
        <w:rPr>
          <w:sz w:val="20"/>
          <w:szCs w:val="20"/>
          <w:color w:val="auto"/>
        </w:rPr>
      </w:pPr>
    </w:p>
    <w:p>
      <w:pPr>
        <w:ind w:left="620" w:right="459"/>
        <w:spacing w:after="0" w:line="277" w:lineRule="auto"/>
        <w:rPr>
          <w:sz w:val="20"/>
          <w:szCs w:val="20"/>
          <w:color w:val="auto"/>
        </w:rPr>
      </w:pPr>
      <w:r>
        <w:rPr>
          <w:rFonts w:ascii="Arial" w:cs="Arial" w:eastAsia="Arial" w:hAnsi="Arial"/>
          <w:sz w:val="18"/>
          <w:szCs w:val="18"/>
          <w:color w:val="auto"/>
        </w:rPr>
        <w:t>$1,350,000,000 aggregate principal amount of 3.500% Senior Notes due 2031.</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March 23, 2021.</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2026 Notes will mature on April 15, 2026.</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2029 Notes will mature on April 15, 2029.</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2031 Notes will mature on April 15, 2031.</w:t>
      </w:r>
    </w:p>
    <w:p>
      <w:pPr>
        <w:spacing w:after="0" w:line="158" w:lineRule="exact"/>
        <w:rPr>
          <w:sz w:val="20"/>
          <w:szCs w:val="20"/>
          <w:color w:val="auto"/>
        </w:rPr>
      </w:pPr>
    </w:p>
    <w:p>
      <w:pPr>
        <w:ind w:left="620" w:right="439"/>
        <w:spacing w:after="0" w:line="308" w:lineRule="auto"/>
        <w:rPr>
          <w:sz w:val="20"/>
          <w:szCs w:val="20"/>
          <w:color w:val="auto"/>
        </w:rPr>
      </w:pPr>
      <w:r>
        <w:rPr>
          <w:rFonts w:ascii="Arial" w:cs="Arial" w:eastAsia="Arial" w:hAnsi="Arial"/>
          <w:sz w:val="17"/>
          <w:szCs w:val="17"/>
          <w:color w:val="auto"/>
        </w:rPr>
        <w:t>Interest on the Notes will be paid on each April 15 and October 15, commencing October 15, 2021.</w:t>
      </w:r>
    </w:p>
    <w:p>
      <w:pPr>
        <w:spacing w:after="0" w:line="79" w:lineRule="exact"/>
        <w:rPr>
          <w:sz w:val="20"/>
          <w:szCs w:val="20"/>
          <w:color w:val="auto"/>
        </w:rPr>
      </w:pPr>
    </w:p>
    <w:p>
      <w:pPr>
        <w:ind w:left="620" w:right="299"/>
        <w:spacing w:after="0" w:line="285" w:lineRule="auto"/>
        <w:rPr>
          <w:sz w:val="20"/>
          <w:szCs w:val="20"/>
          <w:color w:val="auto"/>
        </w:rPr>
      </w:pPr>
      <w:r>
        <w:rPr>
          <w:rFonts w:ascii="Arial" w:cs="Arial" w:eastAsia="Arial" w:hAnsi="Arial"/>
          <w:sz w:val="16"/>
          <w:szCs w:val="16"/>
          <w:color w:val="auto"/>
        </w:rPr>
        <w:t>The Issuer may, at its option, redeem some or all of the 2026 Notes at any time on or after April 15, 2023 at the fixed redemption prices described in the section “Description of Notes—Optional Redemption,” plus accrued and unpaid interest, if any, to, but not including, the redemption date. Prior to April 15, 2023, the Issuer may, at its option, redeem some or all of the 2026 Notes at a make-whole price, plus accrued and unpaid interest, if any, to, but not including, the redemption date. In addition, prior to April 15, 2023, the Issuer may, at its option, redeem up to 40% of the aggregate principal amount of the 2026 Notes with an amount equal to the net cash proceeds of certain sales of equity securities or certain contributions to its equity at the redemption prices described in the section “Description of Notes— Optional Redemption,” plus accrued and unpaid interest, if any, to, but not including, the redemption date.</w:t>
      </w:r>
    </w:p>
    <w:p>
      <w:pPr>
        <w:spacing w:after="0" w:line="174" w:lineRule="exact"/>
        <w:rPr>
          <w:sz w:val="20"/>
          <w:szCs w:val="20"/>
          <w:color w:val="auto"/>
        </w:rPr>
      </w:pPr>
    </w:p>
    <w:p>
      <w:pPr>
        <w:ind w:left="620" w:right="299"/>
        <w:spacing w:after="0" w:line="285" w:lineRule="auto"/>
        <w:rPr>
          <w:sz w:val="20"/>
          <w:szCs w:val="20"/>
          <w:color w:val="auto"/>
        </w:rPr>
      </w:pPr>
      <w:r>
        <w:rPr>
          <w:rFonts w:ascii="Arial" w:cs="Arial" w:eastAsia="Arial" w:hAnsi="Arial"/>
          <w:sz w:val="16"/>
          <w:szCs w:val="16"/>
          <w:color w:val="auto"/>
        </w:rPr>
        <w:t>The Issuer may, at its option, redeem some or all of the 2029 Notes at any time on or after April 15, 2024 at the fixed redemption prices described in the section “Description of Notes—Optional Redemption,” plus accrued and unpaid interest, if any, to, but not including, the redemption date. Prior to April 15, 2024, the Issuer may, at its option, redeem some or all of the 2029 Notes at a make-whole price, plus accrued and unpaid interest, if any, to, but not including, the redemption date. In addition, prior to April 15, 2024, the Issuer may, at its option, redeem up to 40% of the aggregate principal amount of the 2029 Notes with an amount equal to the net cash proceeds of certain sales of equity securities or certain contributions to its equity at the redemption prices described in the section “Description of Notes— Optional Redemption,” plus accrued and unpaid interest, if any, to, but not including, the redemption date.</w:t>
      </w:r>
    </w:p>
    <w:p>
      <w:pPr>
        <w:spacing w:after="0" w:line="200" w:lineRule="exact"/>
        <w:rPr>
          <w:sz w:val="20"/>
          <w:szCs w:val="20"/>
          <w:color w:val="auto"/>
        </w:rPr>
      </w:pPr>
    </w:p>
    <w:p>
      <w:pPr>
        <w:sectPr>
          <w:pgSz w:w="11900" w:h="16838" w:orient="portrait"/>
          <w:cols w:equalWidth="0" w:num="2">
            <w:col w:w="3300" w:space="720"/>
            <w:col w:w="4999"/>
          </w:cols>
          <w:pgMar w:left="1440" w:top="265" w:right="1440"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93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7693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Issuer may, at its option, redeem some or all of the</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2031 Notes at any time on or after April 15, 2026 at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fixed redemption prices described in the section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“Description of Notes—Optional Redemption,” plus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accrued and unpaid interest, if any, to, but not including,</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redemption date. Prior to April 15, 2026, the Issuer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may, at its option, redeem some or all of the 2031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at a make-whole price, plus accrued and unpaid interest,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if any, to, but not including, the redemption date. In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addition, prior to April 15, 2024, the Issuer may, at its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option, redeem up to 40% of the aggregate principal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amount of the 2031 Notes with an amount equal to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net cash proceeds of certain sales of equity securities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certain contributions to its equity at the redemption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prices described in the section “Description of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Optional Redemption,” plus accrued and unpaid interest,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if any, to, but not including, the redemption date.</w:t>
      </w:r>
    </w:p>
    <w:p>
      <w:pPr>
        <w:ind w:left="320"/>
        <w:spacing w:after="0" w:line="206" w:lineRule="auto"/>
        <w:tabs>
          <w:tab w:leader="none" w:pos="4620" w:val="left"/>
        </w:tabs>
        <w:rPr>
          <w:sz w:val="20"/>
          <w:szCs w:val="20"/>
          <w:color w:val="auto"/>
        </w:rPr>
      </w:pPr>
      <w:r>
        <w:rPr>
          <w:rFonts w:ascii="Arial" w:cs="Arial" w:eastAsia="Arial" w:hAnsi="Arial"/>
          <w:sz w:val="36"/>
          <w:szCs w:val="36"/>
          <w:b w:val="1"/>
          <w:bCs w:val="1"/>
          <w:color w:val="auto"/>
          <w:vertAlign w:val="superscript"/>
        </w:rPr>
        <w:t>Ranking</w:t>
      </w:r>
      <w:r>
        <w:rPr>
          <w:sz w:val="20"/>
          <w:szCs w:val="20"/>
          <w:color w:val="auto"/>
        </w:rPr>
        <w:tab/>
      </w:r>
      <w:r>
        <w:rPr>
          <w:rFonts w:ascii="Arial" w:cs="Arial" w:eastAsia="Arial" w:hAnsi="Arial"/>
          <w:sz w:val="18"/>
          <w:szCs w:val="18"/>
          <w:color w:val="auto"/>
        </w:rPr>
        <w:t>The Notes:</w:t>
      </w:r>
    </w:p>
    <w:p>
      <w:pPr>
        <w:spacing w:after="0" w:line="15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general unsecured, unsubordinated</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obligations of the Issuer;</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senior in right of payment to any future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the Issuer to the extent that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such future indebtedness provides by its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it is subordinated in right of payment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Notes;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rank equal in right of payment with any of</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Issuer’s existing and future indebtedness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other liabilities that are not by their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in right of payment to the Notes,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including, without limitation, the obligations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under the Existing T-Mobile Secured Notes,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Existing T-Mobile Unsecured Notes,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Sprint Unsecured Notes (as defined</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under “Description of Other Indebtedness and</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Certain Financing Transactions—Existing</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Sprint Unsecured Notes”), the Credit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Agreement (as defined under “Description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Other Indebtedness and Certain Financing</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Transactions—Credit Agreement”) and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Tower Obligations;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effectively subordinated to all existing</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future secured indebtedness of the Issuer,</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including, without limitation, obligations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under the Existing T-Mobile Secured Notes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the Credit Agreement, in each case to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extent of the value of the Issuer’s assets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securing such indebtedness;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liabilities and other obligations of the Issuer’s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that are not obligors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with respect to the Notes, including the</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Existing Sprint Spectrum-Backed Notes,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factoring arrangements and Tower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unconditionally guaranteed on a senior</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unsecured basis by Parent and the Subsidiary</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Guarantors (as defined under “Description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Notes—Certain Definitions”).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this Offering and</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structurally subordinated to the indebtedness and other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liabilities of the Issuer’s non-guarantor subsidiaries.”</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completed the Q1 Notes Issuances, and also completed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this offering and used a portion of the net proceeds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this offering, together with cash on hand, to redeem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full $2.0 billion in aggregate principal amount of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Issuer’s 6.500% Senior Notes due 2026, we would have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had approximately $81.4 billion of outstanding</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indebtedness and other obligations, excluding letter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credit obligations, including $36.3 billion of effectively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outstanding secured indebtedness and $40.6</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billion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outstanding unsecured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indebtedness. Our effectively senior, 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indebtedness would consist of $31.8 billion of Existing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T-Mobile Secured Notes and an aggregate principal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amount of $4.6 billion of Existing Sprint Spectrum-</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Backed Notes outstanding, with up to $2.4 billion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remaining available for issuance, under the Sprint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Spectrum Note Facility (as defined under “Description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Other Indebtedness and Certain Financing</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Transactions—Existing Sprint Spectrum Note Facility”).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unsecured indebtedness would consist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$3.8 billion of Notes offered hereby, $14.1 billion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Existing T-Mobile Unsecured Notes, $19.8 billion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Existing Sprint Unsecured Notes and approximately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$3.0 billion in unsecured Tower Obligations. We also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would have had $5.5 billion of revolving borrowings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available on an effectively senior, secured basis under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Credit Agreement.</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Note Guarantees</w:t>
      </w:r>
      <w:r>
        <w:rPr>
          <w:sz w:val="20"/>
          <w:szCs w:val="20"/>
          <w:color w:val="auto"/>
        </w:rPr>
        <w:tab/>
      </w:r>
      <w:r>
        <w:rPr>
          <w:rFonts w:ascii="Arial" w:cs="Arial" w:eastAsia="Arial" w:hAnsi="Arial"/>
          <w:sz w:val="16"/>
          <w:szCs w:val="16"/>
          <w:color w:val="auto"/>
        </w:rPr>
        <w:t>The Notes will be guaranteed by (x) Parent and any</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wholly-owned subsidiary of the Issuer that is not 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Excluded Subsidiary and either (i) is or becomes an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obligor of the Credit Agreement or (ii) issues 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guarantees certain capital markets debt securities,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(y) any future direct or indirect subsidiary of Parent 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any subsidiary thereof that owns capital stock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Issuer. See “Description of Notes—Brief Description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Notes and the Note Guarantees—The Note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Guarantees.” Each Guarantee of the Notes by a</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guarantor:</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a general unsecured, unsubordinated</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 of such guarantor;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be senior in right of payment to any future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that guarantor to the extent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such future indebtedness provides by its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terms that it is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such guarantor’s Guarantee;</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equal in right of payment with any of</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that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and other liabilities that are not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their terms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the Notes,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limitation, obligations under the Existing 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Mobile Secured Notes, the Existing T-Mobile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Unsecured Notes and the Credit Agreement;</w:t>
      </w:r>
    </w:p>
    <w:p>
      <w:pPr>
        <w:spacing w:after="0" w:line="114"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effectively subordinated to any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Subsidiary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secured indebtedness,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limitation, obligations under the Existing 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Mobile Secured Notes and the Credit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Agreement, in each case to the extent of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value of the assets of such Subsidiary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Guarantor securing such Indebtedness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(as defined under “Description of Notes—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Certain Definitions”);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indebtedness and other obligations of any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of that guarantor that are not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obligors with respect to the 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this Offering and</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unsecured and effectively subordinated to the Issuer’s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the guarantors’ existing and future 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including the Existing T-Mobile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and borrowings under the Credit Agreement”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“Risk Factors—Risks Related to this Offering and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Notes—The Notes and the Guarantees will be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structurally subordinated to the indebtedness and other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liabilities of the Issuer’s non-guarantor subsidiaries.”</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Q1 Notes Issuances and all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Guarantees were in place, subsidiaries that will not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provide guarantees of the Notes that were included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Parent’s consolidated financial statements as of such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date had approximately $12.2 billion of total assets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approximately $6.7 billion in indebtedness and Tower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Obligations outstanding.</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If Parent has achieved an investment grade corporate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rating and the Notes would have an investment grade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rating after giving effect to the proposed release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subsidiary guarantees from two of the following:</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Standard &amp; Poor’s Financial Services LLC, Moody’s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5880" w:type="dxa"/>
            <w:vAlign w:val="bottom"/>
            <w:tcBorders>
              <w:top w:val="single" w:sz="8" w:color="auto"/>
              <w:right w:val="single" w:sz="8" w:color="auto"/>
            </w:tcBorders>
            <w:gridSpan w:val="2"/>
          </w:tcPr>
          <w:p>
            <w:pPr>
              <w:ind w:left="1540"/>
              <w:spacing w:after="0"/>
              <w:rPr>
                <w:sz w:val="20"/>
                <w:szCs w:val="20"/>
                <w:color w:val="auto"/>
              </w:rPr>
            </w:pPr>
            <w:r>
              <w:rPr>
                <w:rFonts w:ascii="Arial" w:cs="Arial" w:eastAsia="Arial" w:hAnsi="Arial"/>
                <w:sz w:val="18"/>
                <w:szCs w:val="18"/>
                <w:color w:val="auto"/>
              </w:rPr>
              <w:t>Investors Service, Inc. and Fitch Ratings, Inc.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7"/>
              </w:rPr>
              <w:t>certain other conditions are met, the Issuer may elect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have the subsidiary guarantees permanently released.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There can be no assurance that Parent or the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ever have investment grade ratings, or that, if they do,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Parent or the Notes will maintain these ratings.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“Description of Notes—Brief Description of the Notes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and the Note Guarantees—The Note Guarantees.”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Certain Covenants</w:t>
            </w: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indentures governing the Notes will contain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covenants that, among other things, limit the ability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Issuer and its restricted subsidiaries to:</w:t>
            </w:r>
          </w:p>
        </w:tc>
        <w:tc>
          <w:tcPr>
            <w:tcW w:w="1040" w:type="dxa"/>
            <w:vAlign w:val="bottom"/>
          </w:tcPr>
          <w:p>
            <w:pPr>
              <w:spacing w:after="0"/>
              <w:rPr>
                <w:sz w:val="20"/>
                <w:szCs w:val="20"/>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incur more debt;</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pay dividends and make distributions;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make certain investments;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repurchase stock;</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create liens or other encumbrances;</w:t>
            </w:r>
          </w:p>
        </w:tc>
        <w:tc>
          <w:tcPr>
            <w:tcW w:w="1040" w:type="dxa"/>
            <w:vAlign w:val="bottom"/>
          </w:tcPr>
          <w:p>
            <w:pPr>
              <w:spacing w:after="0"/>
              <w:rPr>
                <w:sz w:val="24"/>
                <w:szCs w:val="24"/>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 into transactions with affiliates;</w:t>
            </w:r>
          </w:p>
        </w:tc>
        <w:tc>
          <w:tcPr>
            <w:tcW w:w="1040" w:type="dxa"/>
            <w:vAlign w:val="bottom"/>
          </w:tcPr>
          <w:p>
            <w:pPr>
              <w:spacing w:after="0"/>
              <w:rPr>
                <w:sz w:val="24"/>
                <w:szCs w:val="24"/>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enter into agreements that restrict dividends or</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distributions from subsidiaries;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merge, consolidate or sell, or otherwise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dispose of, substantially all of their assets;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grant a subsidiary guarantee of debt incurred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 the Credit Agreement or certain capital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markets debt without also providing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guarantee of the Notes.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8"/>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later in this prospectus supplement under the caption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“Description of Notes—Certain Covenants.” If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3"/>
              </w:rPr>
              <w:t>Notes are assigned an investment grade rating by at least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two of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(“S&amp;P”), Moody’s Investors Service, Inc. (“Moody’s”)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and Fitch Ratings, Inc. (“Fitch”) and no default has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5"/>
              </w:rPr>
              <w:t>occurred or is continuing, certain covenants will cease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apply and will not be later reinstated even if the rating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notes should subsequently decline, and the Issuer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4"/>
              </w:rPr>
              <w:t>may elect to have other covenants permanently changed.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There can be no assurance that Parent or the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9"/>
              </w:rPr>
              <w:t>ever have investment grade ratings, or that, if they do,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Parent or the Notes will maintain these ratings.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6"/>
              </w:rPr>
              <w:t>“Description of Notes—Certain Covenants—Changes in</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Covenants When Notes Rated Investment Grade.”</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Asset Sale Proceeds</w:t>
            </w: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If the Issuer or its restricted subsidiaries engage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w w:val="93"/>
              </w:rPr>
              <w:t>certain types of asset sales, the Issuer generally must use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the net cash proceeds from the sale either to make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investments in its business (through capital</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tcBorders>
              <w:right w:val="single" w:sz="8" w:color="auto"/>
            </w:tcBorders>
            <w:gridSpan w:val="2"/>
          </w:tcPr>
          <w:p>
            <w:pPr>
              <w:ind w:left="1540"/>
              <w:spacing w:after="0"/>
              <w:rPr>
                <w:sz w:val="20"/>
                <w:szCs w:val="20"/>
                <w:color w:val="auto"/>
              </w:rPr>
            </w:pPr>
            <w:r>
              <w:rPr>
                <w:rFonts w:ascii="Arial" w:cs="Arial" w:eastAsia="Arial" w:hAnsi="Arial"/>
                <w:sz w:val="18"/>
                <w:szCs w:val="18"/>
                <w:color w:val="auto"/>
              </w:rPr>
              <w:t>expenditures, acquisitions or otherwise) or to repay</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00" w:type="dxa"/>
            <w:vAlign w:val="bottom"/>
          </w:tcPr>
          <w:p>
            <w:pPr>
              <w:ind w:left="1280"/>
              <w:spacing w:after="0"/>
              <w:rPr>
                <w:sz w:val="20"/>
                <w:szCs w:val="20"/>
                <w:color w:val="auto"/>
              </w:rPr>
            </w:pPr>
            <w:r>
              <w:rPr>
                <w:rFonts w:ascii="Arial" w:cs="Arial" w:eastAsia="Arial" w:hAnsi="Arial"/>
                <w:sz w:val="18"/>
                <w:szCs w:val="18"/>
                <w:color w:val="auto"/>
              </w:rPr>
              <w:t>S-7</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12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permanently debt under credit facilities, including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borrowings under the Credit Agreement, or secured by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assets sold within a certain period of time after such sale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or, prepay other senior debt and the notes on a pro rata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basis or prepay debt of a non-guarantor restricted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subsidiary (if the assets sold were the assets of a non-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guarantor restricted subsidiary); otherwise the Issuer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must make an offer to purchase, on a pro rata basis,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 xml:space="preserve">principal amount of the notes and other </w:t>
            </w:r>
            <w:r>
              <w:rPr>
                <w:rFonts w:ascii="Arial" w:cs="Arial" w:eastAsia="Arial" w:hAnsi="Arial"/>
                <w:sz w:val="18"/>
                <w:szCs w:val="18"/>
                <w:i w:val="1"/>
                <w:iCs w:val="1"/>
                <w:color w:val="auto"/>
              </w:rPr>
              <w:t>pari passu</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3"/>
              </w:rPr>
              <w:t>indebtedness equal to the excess net cash proceeds.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purchase price of the notes would be 100% of their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principal amount, plus accrued and unpaid interest, if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any, to, but not including, the repurchase date.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“Description of Notes—Repurchase at the Option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Holders—Asset Sales.”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Change of Control Triggering Event</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If the Issuer experiences a Change of Control Triggering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Event (as defined under “Description of Notes—Certain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Definitions”), the Issuer must make an offer to each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4"/>
              </w:rPr>
              <w:t>holder to repurchase the Notes at a price in cash equal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101% of their principal amount, plus accrued and unpaid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interest, if any, to, but not including, the purchase date.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See “Description of Notes—Repurchase at the Option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Holders—Change of Control Triggering Event.”</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Use of Proceeds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We intend to use $2.0 billion of the net proceeds from</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this offering to acquire spectrum licenses pursuant to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FCC’s C-Band spectrum Auction 107, with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remainder to be used, together with cash on hand, to</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redeem the Issuer’s 6.500% Senior Notes due 2026.</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Listing</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Issuer does not intend to apply for the Notes to be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listed on any securities exchange or to arrange for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Notes to be quoted on any quotation system.</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Denominations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Notes will be issued in minimum denominations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$2,000 and integral multiples of $1,000 in excess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thereof.</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Absence of Public Market for the Notes</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The 2026 Notes, the 2029 Notes and the 2031 Notes will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each be a new class of security and there is currently no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established trading market for such Notes.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underwriters have advised us that certain underwriters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intend to make a market in the Notes. However, they are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 obligated to do so and they may discontinue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market making at any time in their sole discretion. As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result, a liquid market for the Notes may not be available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if you wish to sell your Notes.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Trustee</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The Trustee for the Notes will be Deutsche Bank Trust</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Company Americas.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Governing Law</w:t>
            </w: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8"/>
              </w:rPr>
              <w:t>The Notes, the indentures governing the Notes and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7"/>
              </w:rPr>
              <w:t>Guarantees will be governed by the laws of the State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New York.</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512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160" w:type="dxa"/>
            <w:vAlign w:val="bottom"/>
            <w:gridSpan w:val="2"/>
          </w:tcPr>
          <w:p>
            <w:pPr>
              <w:ind w:left="520"/>
              <w:spacing w:after="0"/>
              <w:rPr>
                <w:sz w:val="20"/>
                <w:szCs w:val="20"/>
                <w:color w:val="auto"/>
              </w:rPr>
            </w:pPr>
            <w:r>
              <w:rPr>
                <w:rFonts w:ascii="Arial" w:cs="Arial" w:eastAsia="Arial" w:hAnsi="Arial"/>
                <w:sz w:val="18"/>
                <w:szCs w:val="18"/>
                <w:color w:val="auto"/>
              </w:rPr>
              <w:t>S-8</w:t>
            </w:r>
          </w:p>
        </w:tc>
      </w:tr>
      <w:tr>
        <w:trPr>
          <w:trHeight w:val="183"/>
        </w:trPr>
        <w:tc>
          <w:tcPr>
            <w:tcW w:w="1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4" w:name="page15"/>
    <w:bookmarkEnd w:id="14"/>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7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Risk Factors</w:t>
            </w:r>
          </w:p>
        </w:tc>
        <w:tc>
          <w:tcPr>
            <w:tcW w:w="614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w w:val="99"/>
              </w:rPr>
              <w:t>You should consider carefully all of the information set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w w:val="98"/>
              </w:rPr>
              <w:t>forth in this prospectus supplement, the accompanying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w w:val="98"/>
              </w:rPr>
              <w:t>prospectus, any related free writing prospectus and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documents incorporated by reference herein and,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particular, you should carefully evaluate the specific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rFonts w:ascii="Arial" w:cs="Arial" w:eastAsia="Arial" w:hAnsi="Arial"/>
                <w:sz w:val="18"/>
                <w:szCs w:val="18"/>
                <w:color w:val="auto"/>
                <w:w w:val="98"/>
              </w:rPr>
            </w:pPr>
            <w:r>
              <w:rPr>
                <w:rFonts w:ascii="Arial" w:cs="Arial" w:eastAsia="Arial" w:hAnsi="Arial"/>
                <w:sz w:val="18"/>
                <w:szCs w:val="18"/>
                <w:color w:val="auto"/>
                <w:w w:val="98"/>
              </w:rPr>
              <w:t>factors under “Risk Factors” beginning on page S-</w:t>
            </w:r>
            <w:hyperlink w:anchor="page24">
              <w:r>
                <w:rPr>
                  <w:rFonts w:ascii="Arial" w:cs="Arial" w:eastAsia="Arial" w:hAnsi="Arial"/>
                  <w:sz w:val="18"/>
                  <w:szCs w:val="18"/>
                  <w:u w:val="single" w:color="auto"/>
                  <w:color w:val="0000EE"/>
                  <w:w w:val="98"/>
                </w:rPr>
                <w:t>17</w:t>
              </w:r>
              <w:r>
                <w:rPr>
                  <w:rFonts w:ascii="Arial" w:cs="Arial" w:eastAsia="Arial" w:hAnsi="Arial"/>
                  <w:sz w:val="18"/>
                  <w:szCs w:val="18"/>
                  <w:u w:val="single" w:color="auto"/>
                  <w:color w:val="auto"/>
                  <w:w w:val="98"/>
                </w:rPr>
                <w:t xml:space="preserve"> </w:t>
              </w:r>
            </w:hyperlink>
            <w:r>
              <w:rPr>
                <w:rFonts w:ascii="Arial" w:cs="Arial" w:eastAsia="Arial" w:hAnsi="Arial"/>
                <w:sz w:val="18"/>
                <w:szCs w:val="18"/>
                <w:color w:val="auto"/>
                <w:w w:val="98"/>
              </w:rPr>
              <w:t>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this prospectus supplement and those risk factors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6140" w:type="dxa"/>
            <w:vAlign w:val="bottom"/>
            <w:tcBorders>
              <w:right w:val="single" w:sz="8" w:color="auto"/>
            </w:tcBorders>
          </w:tcPr>
          <w:p>
            <w:pPr>
              <w:ind w:left="1800"/>
              <w:spacing w:after="0"/>
              <w:rPr>
                <w:sz w:val="20"/>
                <w:szCs w:val="20"/>
                <w:color w:val="auto"/>
              </w:rPr>
            </w:pPr>
            <w:r>
              <w:rPr>
                <w:rFonts w:ascii="Arial" w:cs="Arial" w:eastAsia="Arial" w:hAnsi="Arial"/>
                <w:sz w:val="18"/>
                <w:szCs w:val="18"/>
                <w:color w:val="auto"/>
              </w:rPr>
              <w:t>incorporated by reference herein.</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180" w:type="dxa"/>
            <w:vAlign w:val="bottom"/>
            <w:gridSpan w:val="2"/>
          </w:tcPr>
          <w:p>
            <w:pPr>
              <w:ind w:left="1540"/>
              <w:spacing w:after="0"/>
              <w:rPr>
                <w:sz w:val="20"/>
                <w:szCs w:val="20"/>
                <w:color w:val="auto"/>
              </w:rPr>
            </w:pPr>
            <w:r>
              <w:rPr>
                <w:rFonts w:ascii="Arial" w:cs="Arial" w:eastAsia="Arial" w:hAnsi="Arial"/>
                <w:sz w:val="18"/>
                <w:szCs w:val="18"/>
                <w:color w:val="auto"/>
              </w:rPr>
              <w:t>S-9</w:t>
            </w:r>
          </w:p>
        </w:tc>
      </w:tr>
      <w:tr>
        <w:trPr>
          <w:trHeight w:val="182"/>
        </w:trPr>
        <w:tc>
          <w:tcPr>
            <w:tcW w:w="1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770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47707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Financial and Operating Data of T-Mobile</w:t>
      </w:r>
    </w:p>
    <w:p>
      <w:pPr>
        <w:spacing w:after="0" w:line="121" w:lineRule="exact"/>
        <w:rPr>
          <w:sz w:val="20"/>
          <w:szCs w:val="20"/>
          <w:color w:val="auto"/>
        </w:rPr>
      </w:pPr>
    </w:p>
    <w:p>
      <w:pPr>
        <w:ind w:left="320" w:right="359" w:firstLine="360"/>
        <w:spacing w:after="0" w:line="290" w:lineRule="auto"/>
        <w:rPr>
          <w:sz w:val="20"/>
          <w:szCs w:val="20"/>
          <w:color w:val="auto"/>
        </w:rPr>
      </w:pPr>
      <w:r>
        <w:rPr>
          <w:rFonts w:ascii="Arial" w:cs="Arial" w:eastAsia="Arial" w:hAnsi="Arial"/>
          <w:sz w:val="16"/>
          <w:szCs w:val="16"/>
          <w:color w:val="auto"/>
        </w:rPr>
        <w:t>The following table sets forth summary consolidated financial and operating data for T-Mobile. The summary consolidated financial data has been derived from T-Mobile’s audited consolidated financial statements and related notes as of December 31, 2020 and 2019 and for the three years ended December 31, 2020 contained in Parent’s Annual Report on Form 10-K filed on February 23, 2021. The summary consolidated balance sheet data as of December 31, 2018 is derived from T-Mobile’s audited consolidated financial statements which are not included or incorporated by reference in this prospectus supplement. The summary financial data should be read in conjunction with the consolidated financial statements described above and the related notes. The summary operating data is not derived from the audited consolidated financial statements.</w:t>
      </w:r>
    </w:p>
    <w:p>
      <w:pPr>
        <w:spacing w:after="0" w:line="57" w:lineRule="exact"/>
        <w:rPr>
          <w:sz w:val="20"/>
          <w:szCs w:val="20"/>
          <w:color w:val="auto"/>
        </w:rPr>
      </w:pPr>
    </w:p>
    <w:p>
      <w:pPr>
        <w:ind w:left="320" w:right="299" w:firstLine="360"/>
        <w:spacing w:after="0" w:line="267" w:lineRule="auto"/>
        <w:rPr>
          <w:sz w:val="20"/>
          <w:szCs w:val="20"/>
          <w:color w:val="auto"/>
        </w:rPr>
      </w:pPr>
      <w:r>
        <w:rPr>
          <w:rFonts w:ascii="Arial" w:cs="Arial" w:eastAsia="Arial" w:hAnsi="Arial"/>
          <w:sz w:val="17"/>
          <w:szCs w:val="17"/>
          <w:color w:val="auto"/>
        </w:rPr>
        <w:t>T-Mobile’s historical financial data may not be indicative of the results of operations or financial position to be expected in the future. In particular, on January 1, 2020, T-Mobile adopted Accounting Standards Update (“ASU”) 2016-13, “Financial Instruments—Credit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888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9888220"/>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p>
      <w:pPr>
        <w:spacing w:after="0" w:line="200" w:lineRule="exact"/>
        <w:rPr>
          <w:sz w:val="20"/>
          <w:szCs w:val="20"/>
          <w:color w:val="auto"/>
        </w:rPr>
      </w:pP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80" w:type="dxa"/>
            <w:vAlign w:val="bottom"/>
            <w:tcBorders>
              <w:bottom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3"/>
                <w:szCs w:val="23"/>
                <w:b w:val="1"/>
                <w:bCs w:val="1"/>
                <w:color w:val="auto"/>
                <w:vertAlign w:val="superscript"/>
              </w:rPr>
              <w:t>(1)</w:t>
            </w:r>
          </w:p>
        </w:tc>
      </w:tr>
      <w:tr>
        <w:trPr>
          <w:trHeight w:val="224"/>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4"/>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1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$50,395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$34,500</w:t>
            </w:r>
          </w:p>
        </w:tc>
        <w:tc>
          <w:tcPr>
            <w:tcW w:w="2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$32,441</w:t>
            </w:r>
          </w:p>
        </w:tc>
        <w:tc>
          <w:tcPr>
            <w:tcW w:w="40" w:type="dxa"/>
            <w:vAlign w:val="bottom"/>
          </w:tcPr>
          <w:p>
            <w:pPr>
              <w:spacing w:after="0"/>
              <w:rPr>
                <w:sz w:val="23"/>
                <w:szCs w:val="23"/>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revenues</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17,312</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9,840</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56"/>
        </w:trPr>
        <w:tc>
          <w:tcPr>
            <w:tcW w:w="56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22"/>
                <w:szCs w:val="22"/>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690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2"/>
                <w:szCs w:val="22"/>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68,397</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83"/>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Cost of services, exclusive of depreciation and amortization shown separately</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11,878</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6,622</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6,307</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56"/>
        </w:trPr>
        <w:tc>
          <w:tcPr>
            <w:tcW w:w="5620" w:type="dxa"/>
            <w:vAlign w:val="bottom"/>
          </w:tcPr>
          <w:p>
            <w:pPr>
              <w:ind w:left="20"/>
              <w:spacing w:after="0"/>
              <w:rPr>
                <w:sz w:val="20"/>
                <w:szCs w:val="20"/>
                <w:color w:val="auto"/>
              </w:rPr>
            </w:pPr>
            <w:r>
              <w:rPr>
                <w:rFonts w:ascii="Arial" w:cs="Arial" w:eastAsia="Arial" w:hAnsi="Arial"/>
                <w:sz w:val="18"/>
                <w:szCs w:val="18"/>
                <w:color w:val="auto"/>
                <w:w w:val="93"/>
              </w:rPr>
              <w:t>Cost of equipment sales, exclusive of depreciation and amortization shown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16,388</w:t>
            </w:r>
          </w:p>
        </w:tc>
        <w:tc>
          <w:tcPr>
            <w:tcW w:w="1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11,899</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12,047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6,616</w:t>
            </w: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6,486</w:t>
            </w:r>
          </w:p>
        </w:tc>
        <w:tc>
          <w:tcPr>
            <w:tcW w:w="40" w:type="dxa"/>
            <w:vAlign w:val="bottom"/>
            <w:shd w:val="clear" w:color="auto" w:fill="CCEEFF"/>
          </w:tcPr>
          <w:p>
            <w:pPr>
              <w:spacing w:after="0"/>
              <w:rPr>
                <w:sz w:val="22"/>
                <w:szCs w:val="22"/>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56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61,761</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39,276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38,001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6,636</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5,722</w:t>
            </w:r>
          </w:p>
        </w:tc>
        <w:tc>
          <w:tcPr>
            <w:tcW w:w="2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c>
          <w:tcPr>
            <w:tcW w:w="40" w:type="dxa"/>
            <w:vAlign w:val="bottom"/>
            <w:shd w:val="clear" w:color="auto" w:fill="CCEEFF"/>
          </w:tcPr>
          <w:p>
            <w:pPr>
              <w:spacing w:after="0"/>
              <w:rPr>
                <w:sz w:val="23"/>
                <w:szCs w:val="23"/>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84"/>
        </w:trPr>
        <w:tc>
          <w:tcPr>
            <w:tcW w:w="5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(2,483)</w:t>
            </w:r>
          </w:p>
        </w:tc>
        <w:tc>
          <w:tcPr>
            <w:tcW w:w="9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 to affiliates</w:t>
            </w:r>
          </w:p>
        </w:tc>
        <w:tc>
          <w:tcPr>
            <w:tcW w:w="100" w:type="dxa"/>
            <w:vAlign w:val="bottom"/>
          </w:tcPr>
          <w:p>
            <w:pPr>
              <w:spacing w:after="0"/>
              <w:rPr>
                <w:sz w:val="23"/>
                <w:szCs w:val="23"/>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(247)</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(408)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(522)</w:t>
            </w: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2"/>
                <w:szCs w:val="22"/>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(405)</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(54)</w:t>
            </w: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(3,106)</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(1,119)</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83"/>
        </w:trPr>
        <w:tc>
          <w:tcPr>
            <w:tcW w:w="56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3,530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4,603</w:t>
            </w:r>
          </w:p>
        </w:tc>
        <w:tc>
          <w:tcPr>
            <w:tcW w:w="2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3,917</w:t>
            </w:r>
          </w:p>
        </w:tc>
        <w:tc>
          <w:tcPr>
            <w:tcW w:w="40" w:type="dxa"/>
            <w:vAlign w:val="bottom"/>
          </w:tcPr>
          <w:p>
            <w:pPr>
              <w:spacing w:after="0"/>
              <w:rPr>
                <w:sz w:val="24"/>
                <w:szCs w:val="24"/>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(1,135)</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2,744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2,888</w:t>
            </w:r>
          </w:p>
        </w:tc>
        <w:tc>
          <w:tcPr>
            <w:tcW w:w="40" w:type="dxa"/>
            <w:vAlign w:val="bottom"/>
          </w:tcPr>
          <w:p>
            <w:pPr>
              <w:spacing w:after="0"/>
              <w:rPr>
                <w:sz w:val="23"/>
                <w:szCs w:val="23"/>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3,064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2,888</w:t>
            </w:r>
          </w:p>
        </w:tc>
        <w:tc>
          <w:tcPr>
            <w:tcW w:w="40" w:type="dxa"/>
            <w:vAlign w:val="bottom"/>
          </w:tcPr>
          <w:p>
            <w:pPr>
              <w:spacing w:after="0"/>
              <w:rPr>
                <w:sz w:val="23"/>
                <w:szCs w:val="23"/>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$ 3,064</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$ 3,468</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$ 2,888</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39"/>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5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5"/>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Consolidated Cash Flow Data </w:t>
            </w:r>
            <w:r>
              <w:rPr>
                <w:rFonts w:ascii="Arial" w:cs="Arial" w:eastAsia="Arial" w:hAnsi="Arial"/>
                <w:sz w:val="18"/>
                <w:szCs w:val="18"/>
                <w:color w:val="auto"/>
              </w:rPr>
              <w:t>(in millions):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$ 6,824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$ 3,899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9"/>
              </w:rPr>
              <w:t>(12,715)</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(4,125)</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3"/>
                <w:szCs w:val="23"/>
                <w:color w:val="auto"/>
              </w:rPr>
            </w:pP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13,010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Operating Data:</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Total customers (at period end)</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thousands)</w:t>
            </w:r>
          </w:p>
        </w:tc>
        <w:tc>
          <w:tcPr>
            <w:tcW w:w="840" w:type="dxa"/>
            <w:vAlign w:val="bottom"/>
            <w:gridSpan w:val="3"/>
          </w:tcPr>
          <w:p>
            <w:pPr>
              <w:jc w:val="right"/>
              <w:ind w:right="82"/>
              <w:spacing w:after="0"/>
              <w:rPr>
                <w:sz w:val="20"/>
                <w:szCs w:val="20"/>
                <w:color w:val="auto"/>
              </w:rPr>
            </w:pPr>
            <w:r>
              <w:rPr>
                <w:rFonts w:ascii="Arial" w:cs="Arial" w:eastAsia="Arial" w:hAnsi="Arial"/>
                <w:sz w:val="18"/>
                <w:szCs w:val="18"/>
                <w:color w:val="auto"/>
              </w:rPr>
              <w:t>102,064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67,894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63,656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(in millions)</w:t>
            </w:r>
          </w:p>
        </w:tc>
        <w:tc>
          <w:tcPr>
            <w:tcW w:w="84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w w:val="94"/>
              </w:rPr>
              <w:t>$ 24,557</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$13,383</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$12,398</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Net income margin</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Postpaid phone churn</w:t>
            </w:r>
            <w:r>
              <w:rPr>
                <w:rFonts w:ascii="Arial" w:cs="Arial" w:eastAsia="Arial" w:hAnsi="Arial"/>
                <w:sz w:val="29"/>
                <w:szCs w:val="29"/>
                <w:color w:val="auto"/>
                <w:vertAlign w:val="superscript"/>
              </w:rPr>
              <w:t>(6)</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Prepaid churn</w:t>
            </w:r>
            <w:r>
              <w:rPr>
                <w:rFonts w:ascii="Arial" w:cs="Arial" w:eastAsia="Arial" w:hAnsi="Arial"/>
                <w:sz w:val="29"/>
                <w:szCs w:val="29"/>
                <w:color w:val="auto"/>
                <w:vertAlign w:val="superscript"/>
              </w:rPr>
              <w:t>(6)</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324"/>
        </w:trPr>
        <w:tc>
          <w:tcPr>
            <w:tcW w:w="5620" w:type="dxa"/>
            <w:vAlign w:val="bottom"/>
          </w:tcPr>
          <w:p>
            <w:pPr>
              <w:ind w:left="20"/>
              <w:spacing w:after="0" w:line="324" w:lineRule="exact"/>
              <w:rPr>
                <w:sz w:val="20"/>
                <w:szCs w:val="20"/>
                <w:color w:val="auto"/>
              </w:rPr>
            </w:pPr>
            <w:r>
              <w:rPr>
                <w:rFonts w:ascii="Arial" w:cs="Arial" w:eastAsia="Arial" w:hAnsi="Arial"/>
                <w:sz w:val="18"/>
                <w:szCs w:val="18"/>
                <w:color w:val="auto"/>
              </w:rPr>
              <w:t>Postpaid phone ARPU</w:t>
            </w:r>
            <w:r>
              <w:rPr>
                <w:rFonts w:ascii="Arial" w:cs="Arial" w:eastAsia="Arial" w:hAnsi="Arial"/>
                <w:sz w:val="29"/>
                <w:szCs w:val="29"/>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47.74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$ 46.04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$ 46.40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6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Prepaid ARPU</w:t>
            </w:r>
            <w:r>
              <w:rPr>
                <w:rFonts w:ascii="Arial" w:cs="Arial" w:eastAsia="Arial" w:hAnsi="Arial"/>
                <w:sz w:val="29"/>
                <w:szCs w:val="29"/>
                <w:color w:val="auto"/>
                <w:vertAlign w:val="superscript"/>
              </w:rPr>
              <w:t>(7)(8)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38.12</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37.95</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420"/>
        </w:trPr>
        <w:tc>
          <w:tcPr>
            <w:tcW w:w="5620" w:type="dxa"/>
            <w:vAlign w:val="bottom"/>
          </w:tcPr>
          <w:p>
            <w:pPr>
              <w:ind w:left="20"/>
              <w:spacing w:after="0"/>
              <w:rPr>
                <w:sz w:val="20"/>
                <w:szCs w:val="20"/>
                <w:color w:val="auto"/>
              </w:rPr>
            </w:pPr>
            <w:r>
              <w:rPr>
                <w:rFonts w:ascii="Arial" w:cs="Arial" w:eastAsia="Arial" w:hAnsi="Arial"/>
                <w:sz w:val="18"/>
                <w:szCs w:val="18"/>
                <w:color w:val="auto"/>
              </w:rPr>
              <w:t>Postpaid ARPA</w:t>
            </w:r>
            <w:r>
              <w:rPr>
                <w:rFonts w:ascii="Arial" w:cs="Arial" w:eastAsia="Arial" w:hAnsi="Arial"/>
                <w:sz w:val="29"/>
                <w:szCs w:val="29"/>
                <w:color w:val="auto"/>
                <w:vertAlign w:val="superscript"/>
              </w:rPr>
              <w:t>(9)</w:t>
            </w:r>
          </w:p>
        </w:tc>
        <w:tc>
          <w:tcPr>
            <w:tcW w:w="100" w:type="dxa"/>
            <w:vAlign w:val="bottom"/>
          </w:tcPr>
          <w:p>
            <w:pPr>
              <w:spacing w:after="0"/>
              <w:rPr>
                <w:sz w:val="24"/>
                <w:szCs w:val="24"/>
                <w:color w:val="auto"/>
              </w:rPr>
            </w:pPr>
          </w:p>
        </w:tc>
        <w:tc>
          <w:tcPr>
            <w:tcW w:w="740" w:type="dxa"/>
            <w:vAlign w:val="bottom"/>
            <w:gridSpan w:val="2"/>
          </w:tcPr>
          <w:p>
            <w:pPr>
              <w:jc w:val="right"/>
              <w:ind w:right="82"/>
              <w:spacing w:after="0"/>
              <w:rPr>
                <w:sz w:val="20"/>
                <w:szCs w:val="20"/>
                <w:color w:val="auto"/>
              </w:rPr>
            </w:pPr>
            <w:r>
              <w:rPr>
                <w:rFonts w:ascii="Arial" w:cs="Arial" w:eastAsia="Arial" w:hAnsi="Arial"/>
                <w:sz w:val="18"/>
                <w:szCs w:val="18"/>
                <w:color w:val="auto"/>
              </w:rPr>
              <w:t>131.78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130.43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128.86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9019"/>
          </w:cols>
          <w:pgMar w:left="1440" w:top="265" w:right="1440" w:bottom="0"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81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5819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080" w:type="dxa"/>
            <w:vAlign w:val="bottom"/>
          </w:tcPr>
          <w:p>
            <w:pPr>
              <w:spacing w:after="0"/>
              <w:rPr>
                <w:sz w:val="22"/>
                <w:szCs w:val="22"/>
                <w:color w:val="auto"/>
              </w:rPr>
            </w:pPr>
          </w:p>
        </w:tc>
        <w:tc>
          <w:tcPr>
            <w:tcW w:w="23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As of December 31,</w:t>
            </w:r>
            <w:r>
              <w:rPr>
                <w:rFonts w:ascii="Arial" w:cs="Arial" w:eastAsia="Arial" w:hAnsi="Arial"/>
                <w:sz w:val="23"/>
                <w:szCs w:val="23"/>
                <w:b w:val="1"/>
                <w:bCs w:val="1"/>
                <w:color w:val="auto"/>
                <w:vertAlign w:val="superscript"/>
              </w:rPr>
              <w:t>(1)</w:t>
            </w:r>
          </w:p>
        </w:tc>
      </w:tr>
      <w:tr>
        <w:trPr>
          <w:trHeight w:val="224"/>
        </w:trPr>
        <w:tc>
          <w:tcPr>
            <w:tcW w:w="608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jc w:val="right"/>
              <w:ind w:right="51"/>
              <w:spacing w:after="0"/>
              <w:rPr>
                <w:sz w:val="20"/>
                <w:szCs w:val="20"/>
                <w:color w:val="auto"/>
              </w:rPr>
            </w:pPr>
            <w:r>
              <w:rPr>
                <w:rFonts w:ascii="Arial" w:cs="Arial" w:eastAsia="Arial" w:hAnsi="Arial"/>
                <w:sz w:val="14"/>
                <w:szCs w:val="14"/>
                <w:b w:val="1"/>
                <w:bCs w:val="1"/>
                <w:color w:val="auto"/>
              </w:rPr>
              <w:t>2018</w:t>
            </w:r>
          </w:p>
        </w:tc>
      </w:tr>
      <w:tr>
        <w:trPr>
          <w:trHeight w:val="53"/>
        </w:trPr>
        <w:tc>
          <w:tcPr>
            <w:tcW w:w="60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(in millions)</w:t>
            </w:r>
          </w:p>
        </w:tc>
        <w:tc>
          <w:tcPr>
            <w:tcW w:w="680" w:type="dxa"/>
            <w:vAlign w:val="bottom"/>
          </w:tcPr>
          <w:p>
            <w:pPr>
              <w:spacing w:after="0"/>
              <w:rPr>
                <w:sz w:val="19"/>
                <w:szCs w:val="19"/>
                <w:color w:val="auto"/>
              </w:rPr>
            </w:pPr>
          </w:p>
        </w:tc>
      </w:tr>
      <w:tr>
        <w:trPr>
          <w:trHeight w:val="53"/>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7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$ 23,885</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$ 9,305</w:t>
            </w:r>
          </w:p>
        </w:tc>
        <w:tc>
          <w:tcPr>
            <w:tcW w:w="680" w:type="dxa"/>
            <w:vAlign w:val="bottom"/>
          </w:tcPr>
          <w:p>
            <w:pPr>
              <w:jc w:val="right"/>
              <w:spacing w:after="0"/>
              <w:rPr>
                <w:sz w:val="20"/>
                <w:szCs w:val="20"/>
                <w:color w:val="auto"/>
              </w:rPr>
            </w:pPr>
            <w:r>
              <w:rPr>
                <w:rFonts w:ascii="Arial" w:cs="Arial" w:eastAsia="Arial" w:hAnsi="Arial"/>
                <w:sz w:val="18"/>
                <w:szCs w:val="18"/>
                <w:color w:val="auto"/>
              </w:rPr>
              <w:t>$ 8,281</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21,984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28,021</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10,933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right-of-use assets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Goodwill, spectrum licenses and other intangible assets, net</w:t>
            </w:r>
          </w:p>
        </w:tc>
        <w:tc>
          <w:tcPr>
            <w:tcW w:w="740" w:type="dxa"/>
            <w:vAlign w:val="bottom"/>
          </w:tcPr>
          <w:p>
            <w:pPr>
              <w:jc w:val="right"/>
              <w:spacing w:after="0"/>
              <w:rPr>
                <w:sz w:val="20"/>
                <w:szCs w:val="20"/>
                <w:color w:val="auto"/>
              </w:rPr>
            </w:pPr>
            <w:r>
              <w:rPr>
                <w:rFonts w:ascii="Arial" w:cs="Arial" w:eastAsia="Arial" w:hAnsi="Arial"/>
                <w:sz w:val="18"/>
                <w:szCs w:val="18"/>
                <w:color w:val="auto"/>
              </w:rPr>
              <w:t>99,243</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38,510</w:t>
            </w:r>
          </w:p>
        </w:tc>
        <w:tc>
          <w:tcPr>
            <w:tcW w:w="680" w:type="dxa"/>
            <w:vAlign w:val="bottom"/>
          </w:tcPr>
          <w:p>
            <w:pPr>
              <w:jc w:val="right"/>
              <w:spacing w:after="0"/>
              <w:rPr>
                <w:sz w:val="20"/>
                <w:szCs w:val="20"/>
                <w:color w:val="auto"/>
              </w:rPr>
            </w:pPr>
            <w:r>
              <w:rPr>
                <w:rFonts w:ascii="Arial" w:cs="Arial" w:eastAsia="Arial" w:hAnsi="Arial"/>
                <w:sz w:val="18"/>
                <w:szCs w:val="18"/>
                <w:color w:val="auto"/>
              </w:rPr>
              <w:t>37,658</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Other assets and equipment installment plan receivables due after one year, net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200,162</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86,921</w:t>
            </w:r>
          </w:p>
        </w:tc>
        <w:tc>
          <w:tcPr>
            <w:tcW w:w="680" w:type="dxa"/>
            <w:vAlign w:val="bottom"/>
          </w:tcPr>
          <w:p>
            <w:pPr>
              <w:jc w:val="right"/>
              <w:spacing w:after="0"/>
              <w:rPr>
                <w:sz w:val="20"/>
                <w:szCs w:val="20"/>
                <w:color w:val="auto"/>
              </w:rPr>
            </w:pPr>
            <w:r>
              <w:rPr>
                <w:rFonts w:ascii="Arial" w:cs="Arial" w:eastAsia="Arial" w:hAnsi="Arial"/>
                <w:sz w:val="18"/>
                <w:szCs w:val="18"/>
                <w:color w:val="auto"/>
              </w:rPr>
              <w:t>72,468</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740" w:type="dxa"/>
            <w:vAlign w:val="bottom"/>
          </w:tcPr>
          <w:p>
            <w:pPr>
              <w:jc w:val="right"/>
              <w:spacing w:after="0"/>
              <w:rPr>
                <w:sz w:val="20"/>
                <w:szCs w:val="20"/>
                <w:color w:val="auto"/>
              </w:rPr>
            </w:pPr>
            <w:r>
              <w:rPr>
                <w:rFonts w:ascii="Arial" w:cs="Arial" w:eastAsia="Arial" w:hAnsi="Arial"/>
                <w:sz w:val="18"/>
                <w:szCs w:val="18"/>
                <w:color w:val="auto"/>
              </w:rPr>
              <w:t>61,830</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10,958</w:t>
            </w:r>
          </w:p>
        </w:tc>
        <w:tc>
          <w:tcPr>
            <w:tcW w:w="680" w:type="dxa"/>
            <w:vAlign w:val="bottom"/>
          </w:tcPr>
          <w:p>
            <w:pPr>
              <w:jc w:val="right"/>
              <w:spacing w:after="0"/>
              <w:rPr>
                <w:sz w:val="20"/>
                <w:szCs w:val="20"/>
                <w:color w:val="auto"/>
              </w:rPr>
            </w:pPr>
            <w:r>
              <w:rPr>
                <w:rFonts w:ascii="Arial" w:cs="Arial" w:eastAsia="Arial" w:hAnsi="Arial"/>
                <w:sz w:val="18"/>
                <w:szCs w:val="18"/>
                <w:color w:val="auto"/>
              </w:rPr>
              <w:t>12,124</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to affiliates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13,986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14,582</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Tower obligations</w:t>
            </w:r>
          </w:p>
        </w:tc>
        <w:tc>
          <w:tcPr>
            <w:tcW w:w="740" w:type="dxa"/>
            <w:vAlign w:val="bottom"/>
          </w:tcPr>
          <w:p>
            <w:pPr>
              <w:jc w:val="right"/>
              <w:spacing w:after="0"/>
              <w:rPr>
                <w:sz w:val="20"/>
                <w:szCs w:val="20"/>
                <w:color w:val="auto"/>
              </w:rPr>
            </w:pPr>
            <w:r>
              <w:rPr>
                <w:rFonts w:ascii="Arial" w:cs="Arial" w:eastAsia="Arial" w:hAnsi="Arial"/>
                <w:sz w:val="18"/>
                <w:szCs w:val="18"/>
                <w:color w:val="auto"/>
              </w:rPr>
              <w:t>3,028</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2,236</w:t>
            </w:r>
          </w:p>
        </w:tc>
        <w:tc>
          <w:tcPr>
            <w:tcW w:w="68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10,539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Financing lease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1,444</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1,346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deferred rent expense and deferred tax liabilities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65,344</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28,789</w:t>
            </w:r>
          </w:p>
        </w:tc>
        <w:tc>
          <w:tcPr>
            <w:tcW w:w="680" w:type="dxa"/>
            <w:vAlign w:val="bottom"/>
          </w:tcPr>
          <w:p>
            <w:pPr>
              <w:jc w:val="right"/>
              <w:spacing w:after="0"/>
              <w:rPr>
                <w:sz w:val="20"/>
                <w:szCs w:val="20"/>
                <w:color w:val="auto"/>
              </w:rPr>
            </w:pPr>
            <w:r>
              <w:rPr>
                <w:rFonts w:ascii="Arial" w:cs="Arial" w:eastAsia="Arial" w:hAnsi="Arial"/>
                <w:sz w:val="18"/>
                <w:szCs w:val="18"/>
                <w:color w:val="auto"/>
              </w:rPr>
              <w:t>24,718</w:t>
            </w:r>
          </w:p>
        </w:tc>
      </w:tr>
    </w:tbl>
    <w:p>
      <w:pPr>
        <w:spacing w:after="0" w:line="400" w:lineRule="exact"/>
        <w:rPr>
          <w:sz w:val="20"/>
          <w:szCs w:val="20"/>
          <w:color w:val="auto"/>
        </w:rPr>
      </w:pPr>
    </w:p>
    <w:p>
      <w:pPr>
        <w:ind w:left="660" w:right="359" w:hanging="350"/>
        <w:spacing w:after="0"/>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January 1, 2020, T-Mobile adopted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For further information see Note 1—Summary of Significant Accounting Policies of the notes to T-Mobile’s Consolidated Financial Statements included in Part II, Item 8 of Parent’s Annual Report on Form 10-K for the year ended December 31, 2020 incorporated by reference in this prospectus supplement. Additionally, on January 1, 2019, T-Mobile adopted ASU</w:t>
      </w:r>
    </w:p>
    <w:p>
      <w:pPr>
        <w:spacing w:after="0" w:line="3" w:lineRule="exact"/>
        <w:rPr>
          <w:rFonts w:ascii="Arial" w:cs="Arial" w:eastAsia="Arial" w:hAnsi="Arial"/>
          <w:sz w:val="13"/>
          <w:szCs w:val="13"/>
          <w:color w:val="auto"/>
        </w:rPr>
      </w:pPr>
    </w:p>
    <w:p>
      <w:pPr>
        <w:ind w:left="660" w:right="279"/>
        <w:spacing w:after="0" w:line="243" w:lineRule="auto"/>
        <w:rPr>
          <w:rFonts w:ascii="Arial" w:cs="Arial" w:eastAsia="Arial" w:hAnsi="Arial"/>
          <w:sz w:val="13"/>
          <w:szCs w:val="13"/>
          <w:color w:val="auto"/>
        </w:rPr>
      </w:pPr>
      <w:r>
        <w:rPr>
          <w:rFonts w:ascii="Arial" w:cs="Arial" w:eastAsia="Arial" w:hAnsi="Arial"/>
          <w:sz w:val="13"/>
          <w:szCs w:val="13"/>
          <w:color w:val="auto"/>
        </w:rPr>
        <w:t>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and all the related amendments (collectively, the “new revenue standard”),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21" w:lineRule="exact"/>
        <w:rPr>
          <w:rFonts w:ascii="Arial" w:cs="Arial" w:eastAsia="Arial" w:hAnsi="Arial"/>
          <w:sz w:val="13"/>
          <w:szCs w:val="13"/>
          <w:color w:val="auto"/>
        </w:rPr>
      </w:pPr>
    </w:p>
    <w:p>
      <w:pPr>
        <w:ind w:left="660" w:right="439" w:hanging="350"/>
        <w:spacing w:after="0" w:line="23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customers represents total postpaid and prepaid customers. Includes customers acquired in connection with the Merger and certain customer base adjustments. See “Customer Base Adjustments” and “Net Customer Additions” tables in Part II, Item 7 of Parent’s Annual Report on Form 10-K filed on February 23, 2021.</w:t>
      </w:r>
    </w:p>
    <w:p>
      <w:pPr>
        <w:spacing w:after="0" w:line="20" w:lineRule="exact"/>
        <w:rPr>
          <w:rFonts w:ascii="Arial" w:cs="Arial" w:eastAsia="Arial" w:hAnsi="Arial"/>
          <w:sz w:val="14"/>
          <w:szCs w:val="14"/>
          <w:color w:val="auto"/>
        </w:rPr>
      </w:pPr>
    </w:p>
    <w:p>
      <w:pPr>
        <w:ind w:left="660" w:right="299" w:hanging="350"/>
        <w:spacing w:after="0" w:line="250"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represents earnings before interest expense, net of interest income, income tax expense, depreciation and amortization, non-cash stock-based compensation and certain income and expenses not reflective of T-Mobile’s ongoing operating performance. Adjusted EBITDA is a non-GAAP financial measure utilized by T-Mobile’s management to monitor the financial performance of T-Mobile’s operations. T-Mobile uses Adjusted EBITDA internally as a measure to evaluate and compensate personnel and management for their performance, and as a benchmark to evaluate operating performance in comparison to competitors. Management believes analysts and investors use Adjusted EBITDA as a supplemental measure to evaluate overall operating performance and facilitate comparisons with other wireless communications companies because it is indicative of T-Mobile’s ongoing operating performance and trends by excluding the impact of interest expense from financing, non-cash depreciation and amortization from capital investments, non-cash stock-based compensation, Merger-related costs including network decommissioning costs, incremental costs directly attributable to COVID-19 and impairment expense, as they are not indicative of T-Mobile’s ongoing operating performance as well as certain other nonrecurring income and expenses. Adjusted EBITDA has limitations as an analytical tool and should not be considered in isolation or as a substitute for income from operations, net income or any other measure of financial performance reported in accordance with U.S. Generally Accepted Accounting Principles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730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7306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660" w:right="639"/>
        <w:spacing w:after="0" w:line="253" w:lineRule="auto"/>
        <w:rPr>
          <w:sz w:val="20"/>
          <w:szCs w:val="20"/>
          <w:color w:val="auto"/>
        </w:rPr>
      </w:pPr>
      <w:r>
        <w:rPr>
          <w:rFonts w:ascii="Arial" w:cs="Arial" w:eastAsia="Arial" w:hAnsi="Arial"/>
          <w:sz w:val="14"/>
          <w:szCs w:val="14"/>
          <w:color w:val="auto"/>
        </w:rPr>
        <w:t>The following table illustrates the calculation of Adjusted EBITDA and reconciles Adjusted EBITDA to Net income, which T-Mobile considers to be the most directly comparable GAAP financial measure.</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r>
      <w:tr>
        <w:trPr>
          <w:trHeight w:val="53"/>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4"/>
        </w:trPr>
        <w:tc>
          <w:tcPr>
            <w:tcW w:w="4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4"/>
        </w:trPr>
        <w:tc>
          <w:tcPr>
            <w:tcW w:w="4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Adjusted EBITDA:</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3,064</w:t>
            </w: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3,468</w:t>
            </w:r>
          </w:p>
        </w:tc>
        <w:tc>
          <w:tcPr>
            <w:tcW w:w="2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2,888</w:t>
            </w:r>
          </w:p>
        </w:tc>
        <w:tc>
          <w:tcPr>
            <w:tcW w:w="40" w:type="dxa"/>
            <w:vAlign w:val="bottom"/>
          </w:tcPr>
          <w:p>
            <w:pPr>
              <w:spacing w:after="0"/>
              <w:rPr>
                <w:sz w:val="18"/>
                <w:szCs w:val="18"/>
                <w:color w:val="auto"/>
              </w:rPr>
            </w:pP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4"/>
                <w:szCs w:val="14"/>
                <w:color w:val="auto"/>
              </w:rPr>
              <w:t>Income from discontinued operations, net of tax</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48"/>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3,468</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2,888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expense to affiliates</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(19)</w:t>
            </w: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expense, net</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1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5,722</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5,309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18"/>
        </w:trPr>
        <w:tc>
          <w:tcPr>
            <w:tcW w:w="43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14,151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6,616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6,486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4300" w:type="dxa"/>
            <w:vAlign w:val="bottom"/>
            <w:shd w:val="clear" w:color="auto" w:fill="CCEEFF"/>
          </w:tcPr>
          <w:p>
            <w:pPr>
              <w:ind w:left="180"/>
              <w:spacing w:after="0" w:line="256" w:lineRule="exact"/>
              <w:rPr>
                <w:sz w:val="20"/>
                <w:szCs w:val="20"/>
                <w:color w:val="auto"/>
              </w:rPr>
            </w:pPr>
            <w:r>
              <w:rPr>
                <w:rFonts w:ascii="Arial" w:cs="Arial" w:eastAsia="Arial" w:hAnsi="Arial"/>
                <w:sz w:val="14"/>
                <w:szCs w:val="14"/>
                <w:color w:val="auto"/>
              </w:rPr>
              <w:t>Operating income from discontinued operations</w:t>
            </w:r>
            <w:r>
              <w:rPr>
                <w:rFonts w:ascii="Arial" w:cs="Arial" w:eastAsia="Arial" w:hAnsi="Arial"/>
                <w:sz w:val="23"/>
                <w:szCs w:val="23"/>
                <w:color w:val="auto"/>
                <w:vertAlign w:val="superscript"/>
              </w:rPr>
              <w:t>(a)</w:t>
            </w: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57"/>
        </w:trPr>
        <w:tc>
          <w:tcPr>
            <w:tcW w:w="4300" w:type="dxa"/>
            <w:vAlign w:val="bottom"/>
          </w:tcPr>
          <w:p>
            <w:pPr>
              <w:ind w:left="180"/>
              <w:spacing w:after="0" w:line="256"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23"/>
                <w:szCs w:val="23"/>
                <w:color w:val="auto"/>
                <w:vertAlign w:val="superscript"/>
              </w:rPr>
              <w:t>(b)</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516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423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Merger-related costs</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7"/>
        </w:trPr>
        <w:tc>
          <w:tcPr>
            <w:tcW w:w="4300" w:type="dxa"/>
            <w:vAlign w:val="bottom"/>
          </w:tcPr>
          <w:p>
            <w:pPr>
              <w:ind w:left="180"/>
              <w:spacing w:after="0"/>
              <w:rPr>
                <w:sz w:val="20"/>
                <w:szCs w:val="20"/>
                <w:color w:val="auto"/>
              </w:rPr>
            </w:pPr>
            <w:r>
              <w:rPr>
                <w:rFonts w:ascii="Arial" w:cs="Arial" w:eastAsia="Arial" w:hAnsi="Arial"/>
                <w:sz w:val="14"/>
                <w:szCs w:val="14"/>
                <w:color w:val="auto"/>
              </w:rPr>
              <w:t>COVID-19-related costs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39"/>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4"/>
                <w:szCs w:val="14"/>
                <w:color w:val="auto"/>
              </w:rPr>
              <w:t>Other, net</w:t>
            </w:r>
            <w:r>
              <w:rPr>
                <w:rFonts w:ascii="Arial" w:cs="Arial" w:eastAsia="Arial" w:hAnsi="Arial"/>
                <w:sz w:val="23"/>
                <w:szCs w:val="23"/>
                <w:color w:val="auto"/>
                <w:vertAlign w:val="superscript"/>
              </w:rPr>
              <w:t>(c)</w:t>
            </w:r>
          </w:p>
        </w:tc>
        <w:tc>
          <w:tcPr>
            <w:tcW w:w="1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r>
      <w:tr>
        <w:trPr>
          <w:trHeight w:val="48"/>
        </w:trPr>
        <w:tc>
          <w:tcPr>
            <w:tcW w:w="4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24,557</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13,383</w:t>
            </w:r>
          </w:p>
        </w:tc>
        <w:tc>
          <w:tcPr>
            <w:tcW w:w="2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12,398</w:t>
            </w:r>
          </w:p>
        </w:tc>
        <w:tc>
          <w:tcPr>
            <w:tcW w:w="40" w:type="dxa"/>
            <w:vAlign w:val="bottom"/>
            <w:shd w:val="clear" w:color="auto" w:fill="CCEEFF"/>
          </w:tcPr>
          <w:p>
            <w:pPr>
              <w:spacing w:after="0"/>
              <w:rPr>
                <w:sz w:val="18"/>
                <w:szCs w:val="18"/>
                <w:color w:val="auto"/>
              </w:rPr>
            </w:pPr>
          </w:p>
        </w:tc>
      </w:tr>
      <w:tr>
        <w:trPr>
          <w:trHeight w:val="34"/>
        </w:trPr>
        <w:tc>
          <w:tcPr>
            <w:tcW w:w="43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bl>
    <w:p>
      <w:pPr>
        <w:spacing w:after="0" w:line="35" w:lineRule="exact"/>
        <w:rPr>
          <w:sz w:val="20"/>
          <w:szCs w:val="20"/>
          <w:color w:val="auto"/>
        </w:rPr>
      </w:pPr>
    </w:p>
    <w:p>
      <w:pPr>
        <w:ind w:left="1020" w:right="419" w:hanging="350"/>
        <w:spacing w:after="0" w:line="231"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Following the prepaid transaction, starting on July 1, 2020, we provide Mobile Virtual Network Operator (“MVNO”) services to DISH. We have included the operating income from discontinued operations from April 1, 2020 through June 30, 2020, in our determination of Adjusted EBITDA to reflect contributions of the prepaid business that were replaced by the Master Network Services Agreement (the “MVNO Agreement”) beginning on July 1, 2020 in order to enable management, analysts and investors to better assess ongoing operating performance and trends.</w:t>
      </w:r>
    </w:p>
    <w:p>
      <w:pPr>
        <w:spacing w:after="0" w:line="21" w:lineRule="exact"/>
        <w:rPr>
          <w:rFonts w:ascii="Arial" w:cs="Arial" w:eastAsia="Arial" w:hAnsi="Arial"/>
          <w:sz w:val="14"/>
          <w:szCs w:val="14"/>
          <w:color w:val="auto"/>
        </w:rPr>
      </w:pPr>
    </w:p>
    <w:p>
      <w:pPr>
        <w:ind w:left="1020" w:right="699" w:hanging="350"/>
        <w:spacing w:after="0" w:line="264" w:lineRule="auto"/>
        <w:tabs>
          <w:tab w:leader="none" w:pos="1020" w:val="left"/>
        </w:tabs>
        <w:numPr>
          <w:ilvl w:val="1"/>
          <w:numId w:val="7"/>
        </w:numPr>
        <w:rPr>
          <w:rFonts w:ascii="Arial" w:cs="Arial" w:eastAsia="Arial" w:hAnsi="Arial"/>
          <w:sz w:val="13"/>
          <w:szCs w:val="13"/>
          <w:color w:val="auto"/>
        </w:rPr>
      </w:pPr>
      <w:r>
        <w:rPr>
          <w:rFonts w:ascii="Arial" w:cs="Arial" w:eastAsia="Arial" w:hAnsi="Arial"/>
          <w:sz w:val="13"/>
          <w:szCs w:val="13"/>
          <w:color w:val="auto"/>
        </w:rPr>
        <w:t>Stock-based compensation includes payroll tax impacts and may not agree to stock-based compensation expense in T-Mobile’s consolidated financial statements incorporated by reference in this prospectus supplement. Additionally, certain stock-based compensation expenses associated with the Transactions have been included in Merger-related costs.</w:t>
      </w:r>
    </w:p>
    <w:p>
      <w:pPr>
        <w:spacing w:after="0" w:line="6" w:lineRule="exact"/>
        <w:rPr>
          <w:rFonts w:ascii="Arial" w:cs="Arial" w:eastAsia="Arial" w:hAnsi="Arial"/>
          <w:sz w:val="13"/>
          <w:szCs w:val="13"/>
          <w:color w:val="auto"/>
        </w:rPr>
      </w:pPr>
    </w:p>
    <w:p>
      <w:pPr>
        <w:ind w:left="1020" w:right="719" w:hanging="350"/>
        <w:spacing w:after="0" w:line="244" w:lineRule="auto"/>
        <w:tabs>
          <w:tab w:leader="none" w:pos="1020" w:val="left"/>
        </w:tabs>
        <w:numPr>
          <w:ilvl w:val="1"/>
          <w:numId w:val="7"/>
        </w:numPr>
        <w:rPr>
          <w:rFonts w:ascii="Arial" w:cs="Arial" w:eastAsia="Arial" w:hAnsi="Arial"/>
          <w:sz w:val="13"/>
          <w:szCs w:val="13"/>
          <w:color w:val="auto"/>
        </w:rPr>
      </w:pPr>
      <w:r>
        <w:rPr>
          <w:rFonts w:ascii="Arial" w:cs="Arial" w:eastAsia="Arial" w:hAnsi="Arial"/>
          <w:sz w:val="13"/>
          <w:szCs w:val="13"/>
          <w:color w:val="auto"/>
        </w:rPr>
        <w:t>Other, net may not agree to T-Mobile’s Consolidated Statements of Comprehensive Income incorporated by reference in this prospectus supplement primarily due to certain non-routine operating activities, such as other special items that would not be expected to reoccur or are not reflective of T-Mobile’s ongoing operating performance, and are therefore excluded in Adjusted</w:t>
      </w:r>
    </w:p>
    <w:p>
      <w:pPr>
        <w:spacing w:after="0" w:line="1"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29" w:lineRule="exact"/>
        <w:rPr>
          <w:rFonts w:ascii="Arial" w:cs="Arial" w:eastAsia="Arial" w:hAnsi="Arial"/>
          <w:sz w:val="13"/>
          <w:szCs w:val="13"/>
          <w:color w:val="auto"/>
        </w:rPr>
      </w:pPr>
    </w:p>
    <w:p>
      <w:pPr>
        <w:ind w:left="660" w:hanging="350"/>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revenues.</w:t>
      </w:r>
    </w:p>
    <w:p>
      <w:pPr>
        <w:spacing w:after="0" w:line="41" w:lineRule="exact"/>
        <w:rPr>
          <w:rFonts w:ascii="Arial" w:cs="Arial" w:eastAsia="Arial" w:hAnsi="Arial"/>
          <w:sz w:val="14"/>
          <w:szCs w:val="14"/>
          <w:color w:val="auto"/>
        </w:rPr>
      </w:pPr>
    </w:p>
    <w:p>
      <w:pPr>
        <w:ind w:left="660" w:hanging="350"/>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margin represents Adjusted EBITDA divided by service revenues.</w:t>
      </w:r>
    </w:p>
    <w:p>
      <w:pPr>
        <w:spacing w:after="0" w:line="41" w:lineRule="exact"/>
        <w:rPr>
          <w:rFonts w:ascii="Arial" w:cs="Arial" w:eastAsia="Arial" w:hAnsi="Arial"/>
          <w:sz w:val="14"/>
          <w:szCs w:val="14"/>
          <w:color w:val="auto"/>
        </w:rPr>
      </w:pPr>
    </w:p>
    <w:p>
      <w:pPr>
        <w:ind w:left="660" w:right="379" w:hanging="350"/>
        <w:spacing w:after="0" w:line="23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Churn represents the number of customers whose service was disconnected as a percentage of the average number of customers during the specified period. The number of customers whose service was disconnected is presented net of customers that subsequently have their service restored within a certain period of time. T-Mobile believes that churn provides management, investors and analysts with useful information to evaluate customer retention and loyalty.</w:t>
      </w:r>
    </w:p>
    <w:p>
      <w:pPr>
        <w:spacing w:after="0" w:line="22" w:lineRule="exact"/>
        <w:rPr>
          <w:rFonts w:ascii="Arial" w:cs="Arial" w:eastAsia="Arial" w:hAnsi="Arial"/>
          <w:sz w:val="14"/>
          <w:szCs w:val="14"/>
          <w:color w:val="auto"/>
        </w:rPr>
      </w:pPr>
    </w:p>
    <w:p>
      <w:pPr>
        <w:ind w:left="660" w:right="319" w:hanging="350"/>
        <w:spacing w:after="0" w:line="255"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Average Revenue Per User (“ARPU”) represents the average monthly service revenue earned from customers. T-Mobile believes ARPU provides management, investors and analysts with useful information to assess and evaluate service revenue per customer and assist in forecasting future service revenues generated from the customer base. Postpaid phone ARPU excludes postpaid other customers and related revenues which include wearables, DIGITS and connected devices such as tablets and SyncUp products.</w:t>
      </w:r>
    </w:p>
    <w:p>
      <w:pPr>
        <w:spacing w:after="0" w:line="12" w:lineRule="exact"/>
        <w:rPr>
          <w:rFonts w:ascii="Arial" w:cs="Arial" w:eastAsia="Arial" w:hAnsi="Arial"/>
          <w:sz w:val="13"/>
          <w:szCs w:val="13"/>
          <w:color w:val="auto"/>
        </w:rPr>
      </w:pPr>
    </w:p>
    <w:p>
      <w:pPr>
        <w:ind w:left="660" w:right="539"/>
        <w:spacing w:after="0" w:line="253" w:lineRule="auto"/>
        <w:rPr>
          <w:rFonts w:ascii="Arial" w:cs="Arial" w:eastAsia="Arial" w:hAnsi="Arial"/>
          <w:sz w:val="13"/>
          <w:szCs w:val="13"/>
          <w:color w:val="auto"/>
        </w:rPr>
      </w:pPr>
      <w:r>
        <w:rPr>
          <w:rFonts w:ascii="Arial" w:cs="Arial" w:eastAsia="Arial" w:hAnsi="Arial"/>
          <w:sz w:val="14"/>
          <w:szCs w:val="14"/>
          <w:color w:val="auto"/>
        </w:rPr>
        <w:t>The following tables illustrate the calculation of T-Mobile’s operating measure ARPU and reconciles this measure to the related service revenues.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25"/>
        </w:trPr>
        <w:tc>
          <w:tcPr>
            <w:tcW w:w="55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7"/>
        </w:trPr>
        <w:tc>
          <w:tcPr>
            <w:tcW w:w="5520" w:type="dxa"/>
            <w:vAlign w:val="bottom"/>
          </w:tcPr>
          <w:p>
            <w:pPr>
              <w:spacing w:after="0"/>
              <w:rPr>
                <w:sz w:val="16"/>
                <w:szCs w:val="16"/>
                <w:color w:val="auto"/>
              </w:rPr>
            </w:pPr>
          </w:p>
        </w:tc>
        <w:tc>
          <w:tcPr>
            <w:tcW w:w="22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2"/>
              </w:rPr>
              <w:t>(in millions, except average number</w:t>
            </w:r>
          </w:p>
        </w:tc>
      </w:t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of customers and ARPU)</w:t>
            </w:r>
          </w:p>
        </w:tc>
      </w:tr>
      <w:tr>
        <w:trPr>
          <w:trHeight w:val="52"/>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Postpaid Phone ARPU:</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4"/>
                <w:szCs w:val="14"/>
                <w:color w:val="auto"/>
              </w:rPr>
              <w:t>Postpaid service revenues</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$36,306</w:t>
            </w:r>
          </w:p>
        </w:tc>
        <w:tc>
          <w:tcPr>
            <w:tcW w:w="800" w:type="dxa"/>
            <w:vAlign w:val="bottom"/>
            <w:gridSpan w:val="3"/>
          </w:tcPr>
          <w:p>
            <w:pPr>
              <w:jc w:val="center"/>
              <w:ind w:right="40"/>
              <w:spacing w:after="0"/>
              <w:rPr>
                <w:sz w:val="20"/>
                <w:szCs w:val="20"/>
                <w:color w:val="auto"/>
              </w:rPr>
            </w:pPr>
            <w:r>
              <w:rPr>
                <w:rFonts w:ascii="Arial" w:cs="Arial" w:eastAsia="Arial" w:hAnsi="Arial"/>
                <w:sz w:val="14"/>
                <w:szCs w:val="14"/>
                <w:color w:val="auto"/>
                <w:w w:val="94"/>
              </w:rPr>
              <w:t>$22,673</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$20,862</w:t>
            </w:r>
          </w:p>
        </w:tc>
      </w:tr>
      <w:tr>
        <w:trPr>
          <w:trHeight w:val="39"/>
        </w:trPr>
        <w:tc>
          <w:tcPr>
            <w:tcW w:w="5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Less: Postpaid other revenues</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(2,367)</w:t>
            </w: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(1,344)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(1,117)</w:t>
            </w:r>
          </w:p>
        </w:tc>
      </w:tr>
      <w:tr>
        <w:trPr>
          <w:trHeight w:val="230"/>
        </w:trPr>
        <w:tc>
          <w:tcPr>
            <w:tcW w:w="5520" w:type="dxa"/>
            <w:vAlign w:val="bottom"/>
            <w:tcBorders>
              <w:top w:val="single" w:sz="8" w:color="CCEEFF"/>
            </w:tcBorders>
          </w:tcPr>
          <w:p>
            <w:pPr>
              <w:ind w:left="180"/>
              <w:spacing w:after="0"/>
              <w:rPr>
                <w:sz w:val="20"/>
                <w:szCs w:val="20"/>
                <w:color w:val="auto"/>
              </w:rPr>
            </w:pPr>
            <w:r>
              <w:rPr>
                <w:rFonts w:ascii="Arial" w:cs="Arial" w:eastAsia="Arial" w:hAnsi="Arial"/>
                <w:sz w:val="14"/>
                <w:szCs w:val="14"/>
                <w:color w:val="auto"/>
              </w:rPr>
              <w:t>Postpaid phone service revenues</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33,939</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21,329</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19,745</w:t>
            </w:r>
          </w:p>
        </w:tc>
        <w:tc>
          <w:tcPr>
            <w:tcW w:w="100" w:type="dxa"/>
            <w:vAlign w:val="bottom"/>
            <w:tcBorders>
              <w:top w:val="single" w:sz="8" w:color="CCEEFF"/>
            </w:tcBorders>
          </w:tcPr>
          <w:p>
            <w:pPr>
              <w:spacing w:after="0"/>
              <w:rPr>
                <w:sz w:val="19"/>
                <w:szCs w:val="19"/>
                <w:color w:val="auto"/>
              </w:rPr>
            </w:pPr>
          </w:p>
        </w:tc>
      </w:tr>
      <w:tr>
        <w:trPr>
          <w:trHeight w:val="34"/>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7"/>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postpaid phone customers (in thousands) and number of</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months in period</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59,249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4"/>
                <w:szCs w:val="14"/>
                <w:color w:val="auto"/>
              </w:rPr>
              <w:t>Postpaid phone ARPU</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$ 47.74</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$ 46.04</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$ 46.40</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627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56273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Calculation of Prepaid ARPU:</w:t>
            </w:r>
          </w:p>
        </w:tc>
        <w:tc>
          <w:tcPr>
            <w:tcW w:w="22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2"/>
              </w:rPr>
              <w:t>(in millions, except average number</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of customers and ARPU)</w:t>
            </w: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Prepaid service 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$ 9,543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$ 9,598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4"/>
                <w:szCs w:val="14"/>
                <w:color w:val="auto"/>
                <w:w w:val="97"/>
              </w:rPr>
              <w:t>Divided by: Average number of prepaid customers (in thousands) and number of months 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520" w:type="dxa"/>
            <w:vAlign w:val="bottom"/>
          </w:tcPr>
          <w:p>
            <w:pPr>
              <w:ind w:left="20"/>
              <w:spacing w:after="0"/>
              <w:rPr>
                <w:sz w:val="20"/>
                <w:szCs w:val="20"/>
                <w:color w:val="auto"/>
              </w:rPr>
            </w:pPr>
            <w:r>
              <w:rPr>
                <w:rFonts w:ascii="Arial" w:cs="Arial" w:eastAsia="Arial" w:hAnsi="Arial"/>
                <w:sz w:val="14"/>
                <w:szCs w:val="14"/>
                <w:color w:val="auto"/>
              </w:rPr>
              <w:t>period</w:t>
            </w: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20,594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20,955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ARPU</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$ 37.95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$ 38.53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right="579" w:hanging="350"/>
        <w:spacing w:after="0" w:line="23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July 18, 2019, T-Mobile entered into an agreement whereby certain T-Mobile prepaid products are now offered and distributed by a current MVNO partner. As a result, T-Mobile included a base adjustment in the third quarter of 2019 to reduce prepaid customers by 616,000.</w:t>
      </w:r>
    </w:p>
    <w:p>
      <w:pPr>
        <w:spacing w:after="0" w:line="20" w:lineRule="exact"/>
        <w:rPr>
          <w:rFonts w:ascii="Arial" w:cs="Arial" w:eastAsia="Arial" w:hAnsi="Arial"/>
          <w:sz w:val="14"/>
          <w:szCs w:val="14"/>
          <w:color w:val="auto"/>
        </w:rPr>
      </w:pPr>
    </w:p>
    <w:p>
      <w:pPr>
        <w:ind w:left="660" w:right="419" w:hanging="350"/>
        <w:spacing w:after="0" w:line="277" w:lineRule="auto"/>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Average Revenue Per Account (“ARPA”) represents the average monthly postpaid service revenue earned per account. T-Mobile believes Postpaid ARPA provides management, investors and analysts with useful information to assess and evaluate postpaid service revenue realization and assist in forecasting future postpaid service revenues on a per account basis. T-Mobile considers Postpaid ARPA to be indicative of revenue growth potential given the increase in the average number of postpaid phone customers per account and increases in postpaid other customers, including wearables, DIGITS or other connected devices which includes tablets and SyncUp products.</w:t>
      </w:r>
    </w:p>
    <w:p>
      <w:pPr>
        <w:ind w:left="660" w:right="479"/>
        <w:spacing w:after="0" w:line="253" w:lineRule="auto"/>
        <w:rPr>
          <w:rFonts w:ascii="Arial" w:cs="Arial" w:eastAsia="Arial" w:hAnsi="Arial"/>
          <w:sz w:val="12"/>
          <w:szCs w:val="12"/>
          <w:color w:val="auto"/>
        </w:rPr>
      </w:pPr>
      <w:r>
        <w:rPr>
          <w:rFonts w:ascii="Arial" w:cs="Arial" w:eastAsia="Arial" w:hAnsi="Arial"/>
          <w:sz w:val="14"/>
          <w:szCs w:val="14"/>
          <w:color w:val="auto"/>
        </w:rPr>
        <w:t>The following tables illustrate the calculation of T-Mobile’s operating measure Postpaid ARPA and reconciles this measure to the related service revenues.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r>
      <w:tr>
        <w:trPr>
          <w:trHeight w:val="53"/>
        </w:trPr>
        <w:tc>
          <w:tcPr>
            <w:tcW w:w="57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4"/>
        </w:trPr>
        <w:tc>
          <w:tcPr>
            <w:tcW w:w="5700" w:type="dxa"/>
            <w:vAlign w:val="bottom"/>
          </w:tcPr>
          <w:p>
            <w:pPr>
              <w:spacing w:after="0"/>
              <w:rPr>
                <w:sz w:val="19"/>
                <w:szCs w:val="19"/>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r>
      <w:tr>
        <w:trPr>
          <w:trHeight w:val="53"/>
        </w:trPr>
        <w:tc>
          <w:tcPr>
            <w:tcW w:w="57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4"/>
        </w:trPr>
        <w:tc>
          <w:tcPr>
            <w:tcW w:w="5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3"/>
        </w:trPr>
        <w:tc>
          <w:tcPr>
            <w:tcW w:w="5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Calculation of Postpaid ARPA:</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18"/>
        </w:trPr>
        <w:tc>
          <w:tcPr>
            <w:tcW w:w="5700" w:type="dxa"/>
            <w:vAlign w:val="bottom"/>
          </w:tcPr>
          <w:p>
            <w:pPr>
              <w:spacing w:after="0"/>
              <w:rPr>
                <w:sz w:val="20"/>
                <w:szCs w:val="20"/>
                <w:color w:val="auto"/>
              </w:rPr>
            </w:pPr>
            <w:r>
              <w:rPr>
                <w:rFonts w:ascii="Arial" w:cs="Arial" w:eastAsia="Arial" w:hAnsi="Arial"/>
                <w:sz w:val="14"/>
                <w:szCs w:val="14"/>
                <w:color w:val="auto"/>
              </w:rPr>
              <w:t>Postpaid service revenues</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$36,306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$22,673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$20,862</w:t>
            </w:r>
          </w:p>
        </w:tc>
      </w:tr>
      <w:tr>
        <w:trPr>
          <w:trHeight w:val="39"/>
        </w:trPr>
        <w:tc>
          <w:tcPr>
            <w:tcW w:w="5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184"/>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Divided by: Average number of postpaid accounts (in thousands) and number of months in</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81"/>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22,959</w:t>
            </w:r>
          </w:p>
        </w:tc>
        <w:tc>
          <w:tcPr>
            <w:tcW w:w="3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14,486</w:t>
            </w: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13,492</w:t>
            </w:r>
          </w:p>
        </w:tc>
      </w:tr>
      <w:tr>
        <w:trPr>
          <w:trHeight w:val="34"/>
        </w:trPr>
        <w:tc>
          <w:tcPr>
            <w:tcW w:w="57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4"/>
                <w:szCs w:val="14"/>
                <w:color w:val="auto"/>
              </w:rPr>
              <w:t>Postpaid ARPA</w:t>
            </w:r>
          </w:p>
        </w:tc>
        <w:tc>
          <w:tcPr>
            <w:tcW w:w="460" w:type="dxa"/>
            <w:vAlign w:val="bottom"/>
          </w:tcPr>
          <w:p>
            <w:pPr>
              <w:jc w:val="right"/>
              <w:spacing w:after="0"/>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131.78</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130.43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128.86</w:t>
            </w:r>
          </w:p>
        </w:tc>
      </w:tr>
      <w:tr>
        <w:trPr>
          <w:trHeight w:val="20"/>
        </w:trPr>
        <w:tc>
          <w:tcPr>
            <w:tcW w:w="5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Measures</w:t>
      </w:r>
    </w:p>
    <w:p>
      <w:pPr>
        <w:spacing w:after="0" w:line="121" w:lineRule="exact"/>
        <w:rPr>
          <w:sz w:val="20"/>
          <w:szCs w:val="20"/>
          <w:color w:val="auto"/>
        </w:rPr>
      </w:pPr>
    </w:p>
    <w:p>
      <w:pPr>
        <w:ind w:left="320" w:right="379" w:firstLine="360"/>
        <w:spacing w:after="0" w:line="254" w:lineRule="auto"/>
        <w:rPr>
          <w:sz w:val="20"/>
          <w:szCs w:val="20"/>
          <w:color w:val="auto"/>
        </w:rPr>
      </w:pPr>
      <w:r>
        <w:rPr>
          <w:rFonts w:ascii="Arial" w:cs="Arial" w:eastAsia="Arial" w:hAnsi="Arial"/>
          <w:sz w:val="18"/>
          <w:szCs w:val="18"/>
          <w:color w:val="auto"/>
        </w:rPr>
        <w:t>In managing T-Mobile’s business and assessing financial performance, T-Mobile supplements the information provided by the financial statements with other operating or statistical data and non-GAAP financial measures, including Adjusted EBITDA, Postpaid Phone Churn, Prepaid Churn, Postpaid Phone ARPU, Prepaid ARPU and Postpaid ARPA as disclosed above. These operating and financial measures are utilized by T-Mobile’s management to evaluate operating performance and, in certain cases, ability to meet liquidity requirements. Although companies in the wireless industry may not define each of these measures in precisely the same way, T-Mobile believes that these measures facilitate comparisons with other companies in the wireless industry on key operating and financial measures.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150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9150985"/>
                    </a:xfrm>
                    <a:prstGeom prst="rect">
                      <a:avLst/>
                    </a:prstGeom>
                    <a:noFill/>
                  </pic:spPr>
                </pic:pic>
              </a:graphicData>
            </a:graphic>
          </wp:anchor>
        </w:drawing>
      </w:r>
    </w:p>
    <w:p>
      <w:pPr>
        <w:sectPr>
          <w:pgSz w:w="11900" w:h="16838" w:orient="portrait"/>
          <w:cols w:equalWidth="0" w:num="1">
            <w:col w:w="9019"/>
          </w:cols>
          <w:pgMar w:left="1440" w:top="265" w:right="1440" w:bottom="912"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Historical Financial Data of Sprint</w:t>
      </w:r>
    </w:p>
    <w:p>
      <w:pPr>
        <w:spacing w:after="0" w:line="121" w:lineRule="exact"/>
        <w:rPr>
          <w:sz w:val="20"/>
          <w:szCs w:val="20"/>
          <w:color w:val="auto"/>
        </w:rPr>
      </w:pPr>
    </w:p>
    <w:p>
      <w:pPr>
        <w:ind w:left="320" w:right="279" w:firstLine="360"/>
        <w:spacing w:after="0" w:line="255" w:lineRule="auto"/>
        <w:rPr>
          <w:sz w:val="20"/>
          <w:szCs w:val="20"/>
          <w:color w:val="auto"/>
        </w:rPr>
      </w:pPr>
      <w:r>
        <w:rPr>
          <w:rFonts w:ascii="Arial" w:cs="Arial" w:eastAsia="Arial" w:hAnsi="Arial"/>
          <w:sz w:val="18"/>
          <w:szCs w:val="18"/>
          <w:color w:val="auto"/>
        </w:rPr>
        <w:t>The following table sets forth summary consolidated financial data for Sprint. The summary consolidated financial data has been derived from Sprint’s audited consolidated financial statements and related notes for the three years ended March 31, 2020 contained in Exhibit 99.1 to Parent’s Current Report on Form 8-K filed on May 18, 2020. The summary financial data should be read in conjunction with the consolidated financial statements described above and the related notes. The summary operating data is not derived from the audited consolidated financial statements.</w:t>
      </w:r>
    </w:p>
    <w:p>
      <w:pPr>
        <w:spacing w:after="0" w:line="84" w:lineRule="exact"/>
        <w:rPr>
          <w:sz w:val="20"/>
          <w:szCs w:val="20"/>
          <w:color w:val="auto"/>
        </w:rPr>
      </w:pPr>
    </w:p>
    <w:p>
      <w:pPr>
        <w:ind w:left="320" w:right="419" w:firstLine="360"/>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included changes in tax laws that had a material impact on Sprint’s financial statements. During the year ended March 31, 2018, Sprint recorded a $7.1 billion non-cash tax benefit through net income (loss) to re-measure the carrying values of deferred tax assets and liabilities. The re-measurement of deferred taxes had no impact on cash flows. See Note 12—Income Taxes in Notes to Sprint’s Consolidated Financial Statements filed as Exhibit 99.1 to Parent’s Current Report on Form 8-K filed on May 18, 2020 for additional information.</w:t>
      </w:r>
    </w:p>
    <w:p>
      <w:pPr>
        <w:spacing w:after="0" w:line="8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 xml:space="preserve">On April 1, 2018, Sprint adopted authoritative guidance regarding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2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filed as Exhibit 99.1 to Parent’s Current Report on Form 8-K filed on May 18, 2020 for additional information related to the adoption of this standard.</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6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7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r>
      <w:tr>
        <w:trPr>
          <w:trHeight w:val="53"/>
        </w:trPr>
        <w:tc>
          <w:tcPr>
            <w:tcW w:w="5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1"/>
              </w:rPr>
              <w:t>(in millions, except per share amounts)</w:t>
            </w: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w w:val="98"/>
              </w:rPr>
              <w:t>$21,604</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$22,857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$23,834</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sales</w:t>
            </w:r>
          </w:p>
        </w:tc>
        <w:tc>
          <w:tcPr>
            <w:tcW w:w="840" w:type="dxa"/>
            <w:vAlign w:val="bottom"/>
            <w:tcBorders>
              <w:bottom w:val="single" w:sz="8" w:color="CCEEFF"/>
            </w:tcBorders>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4,999</w:t>
            </w: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5,606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4,524</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Equipment rentals</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rPr>
              <w:t>5,218</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5,137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4,048</w:t>
            </w:r>
          </w:p>
        </w:tc>
      </w:tr>
      <w:tr>
        <w:trPr>
          <w:trHeight w:val="61"/>
        </w:trPr>
        <w:tc>
          <w:tcPr>
            <w:tcW w:w="5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revenues</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Depreciation—network and other</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rPr>
              <w:t>4,416</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3,976</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Depreciation—equipment rentals</w:t>
            </w:r>
          </w:p>
        </w:tc>
        <w:tc>
          <w:tcPr>
            <w:tcW w:w="840" w:type="dxa"/>
            <w:vAlign w:val="bottom"/>
            <w:tcBorders>
              <w:bottom w:val="single" w:sz="8" w:color="CCEEFF"/>
            </w:tcBorders>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4,166</w:t>
            </w: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4,538</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3,792</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22"/>
                <w:szCs w:val="22"/>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608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7"/>
        </w:trPr>
        <w:tc>
          <w:tcPr>
            <w:tcW w:w="5860" w:type="dxa"/>
            <w:vAlign w:val="bottom"/>
            <w:shd w:val="clear" w:color="auto" w:fill="CCEEFF"/>
          </w:tcPr>
          <w:p>
            <w:pPr>
              <w:ind w:left="20"/>
              <w:spacing w:after="0" w:line="296"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40" w:type="dxa"/>
            <w:vAlign w:val="bottom"/>
            <w:gridSpan w:val="4"/>
          </w:tcPr>
          <w:p>
            <w:pPr>
              <w:jc w:val="right"/>
              <w:ind w:right="108"/>
              <w:spacing w:after="0"/>
              <w:rPr>
                <w:sz w:val="20"/>
                <w:szCs w:val="20"/>
                <w:color w:val="auto"/>
              </w:rPr>
            </w:pPr>
            <w:r>
              <w:rPr>
                <w:rFonts w:ascii="Arial" w:cs="Arial" w:eastAsia="Arial" w:hAnsi="Arial"/>
                <w:sz w:val="18"/>
                <w:szCs w:val="18"/>
                <w:color w:val="auto"/>
              </w:rPr>
              <w:t>931</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398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2,727</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40" w:type="dxa"/>
            <w:vAlign w:val="bottom"/>
            <w:tcBorders>
              <w:bottom w:val="single" w:sz="8" w:color="CCEEFF"/>
            </w:tcBorders>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(347)</w:t>
            </w:r>
          </w:p>
        </w:tc>
        <w:tc>
          <w:tcPr>
            <w:tcW w:w="10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(1,943)</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7,377</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Net (loss) income attributable to Sprint Corporation</w:t>
            </w: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(338)</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(1,943)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7,389</w:t>
            </w:r>
          </w:p>
        </w:tc>
      </w:tr>
      <w:tr>
        <w:trPr>
          <w:trHeight w:val="393"/>
        </w:trPr>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74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r>
      <w:tr>
        <w:trPr>
          <w:trHeight w:val="52"/>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5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gridSpan w:val="4"/>
          </w:tcPr>
          <w:p>
            <w:pPr>
              <w:jc w:val="right"/>
              <w:ind w:right="48"/>
              <w:spacing w:after="0"/>
              <w:rPr>
                <w:sz w:val="20"/>
                <w:szCs w:val="20"/>
                <w:color w:val="auto"/>
              </w:rPr>
            </w:pPr>
            <w:r>
              <w:rPr>
                <w:rFonts w:ascii="Arial" w:cs="Arial" w:eastAsia="Arial" w:hAnsi="Arial"/>
                <w:sz w:val="18"/>
                <w:szCs w:val="18"/>
                <w:color w:val="auto"/>
              </w:rPr>
              <w:t>$84,559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$84,601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$85,459</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20,113</w:t>
            </w:r>
          </w:p>
        </w:tc>
        <w:tc>
          <w:tcPr>
            <w:tcW w:w="10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21,201</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19,925</w:t>
            </w:r>
          </w:p>
        </w:tc>
      </w:tr>
      <w:tr>
        <w:trPr>
          <w:trHeight w:val="256"/>
        </w:trPr>
        <w:tc>
          <w:tcPr>
            <w:tcW w:w="5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46,904</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47,832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50,360</w:t>
            </w:r>
          </w:p>
        </w:tc>
      </w:tr>
      <w:tr>
        <w:trPr>
          <w:trHeight w:val="40"/>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finance lease and financing obligations (including equity unit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1"/>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840" w:type="dxa"/>
            <w:vAlign w:val="bottom"/>
            <w:tcBorders>
              <w:bottom w:val="single" w:sz="8" w:color="CCEEFF"/>
            </w:tcBorders>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36,092</w:t>
            </w:r>
          </w:p>
        </w:tc>
        <w:tc>
          <w:tcPr>
            <w:tcW w:w="10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39,923</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40,892</w:t>
            </w:r>
          </w:p>
        </w:tc>
      </w:tr>
      <w:tr>
        <w:trPr>
          <w:trHeight w:val="256"/>
        </w:trPr>
        <w:tc>
          <w:tcPr>
            <w:tcW w:w="58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25,855</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26,072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26,356</w:t>
            </w:r>
          </w:p>
        </w:tc>
      </w:tr>
      <w:tr>
        <w:trPr>
          <w:trHeight w:val="41"/>
        </w:trPr>
        <w:tc>
          <w:tcPr>
            <w:tcW w:w="5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54"/>
        </w:trPr>
        <w:tc>
          <w:tcPr>
            <w:tcW w:w="5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912"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12" w:gutter="0" w:footer="0" w:header="0"/>
          <w:type w:val="continuous"/>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3698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23698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gridSpan w:val="2"/>
          </w:tcPr>
          <w:p>
            <w:pPr>
              <w:jc w:val="center"/>
              <w:ind w:right="535"/>
              <w:spacing w:after="0"/>
              <w:rPr>
                <w:sz w:val="20"/>
                <w:szCs w:val="20"/>
                <w:color w:val="auto"/>
              </w:rPr>
            </w:pPr>
            <w:r>
              <w:rPr>
                <w:rFonts w:ascii="Arial" w:cs="Arial" w:eastAsia="Arial" w:hAnsi="Arial"/>
                <w:sz w:val="14"/>
                <w:szCs w:val="14"/>
                <w:b w:val="1"/>
                <w:bCs w:val="1"/>
                <w:color w:val="auto"/>
                <w:w w:val="94"/>
              </w:rPr>
              <w:t>Year ended March 31,</w:t>
            </w:r>
          </w:p>
        </w:tc>
      </w:tr>
      <w:tr>
        <w:trPr>
          <w:trHeight w:val="53"/>
        </w:trPr>
        <w:tc>
          <w:tcPr>
            <w:tcW w:w="58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jc w:val="center"/>
              <w:ind w:left="59"/>
              <w:spacing w:after="0"/>
              <w:rPr>
                <w:sz w:val="20"/>
                <w:szCs w:val="20"/>
                <w:color w:val="auto"/>
              </w:rPr>
            </w:pPr>
            <w:r>
              <w:rPr>
                <w:rFonts w:ascii="Arial" w:cs="Arial" w:eastAsia="Arial" w:hAnsi="Arial"/>
                <w:sz w:val="14"/>
                <w:szCs w:val="14"/>
                <w:b w:val="1"/>
                <w:bCs w:val="1"/>
                <w:color w:val="auto"/>
                <w:w w:val="96"/>
              </w:rPr>
              <w:t>2019</w:t>
            </w:r>
          </w:p>
        </w:tc>
        <w:tc>
          <w:tcPr>
            <w:tcW w:w="780" w:type="dxa"/>
            <w:vAlign w:val="bottom"/>
          </w:tcPr>
          <w:p>
            <w:pPr>
              <w:jc w:val="right"/>
              <w:ind w:right="75"/>
              <w:spacing w:after="0"/>
              <w:rPr>
                <w:sz w:val="20"/>
                <w:szCs w:val="20"/>
                <w:color w:val="auto"/>
              </w:rPr>
            </w:pPr>
            <w:r>
              <w:rPr>
                <w:rFonts w:ascii="Arial" w:cs="Arial" w:eastAsia="Arial" w:hAnsi="Arial"/>
                <w:sz w:val="14"/>
                <w:szCs w:val="14"/>
                <w:b w:val="1"/>
                <w:bCs w:val="1"/>
                <w:color w:val="auto"/>
              </w:rPr>
              <w:t>2018</w:t>
            </w:r>
          </w:p>
        </w:tc>
      </w:tr>
      <w:tr>
        <w:trPr>
          <w:trHeight w:val="53"/>
        </w:trPr>
        <w:tc>
          <w:tcPr>
            <w:tcW w:w="58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center"/>
              <w:ind w:left="99"/>
              <w:spacing w:after="0"/>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9"/>
                <w:szCs w:val="19"/>
                <w:color w:val="auto"/>
              </w:rPr>
            </w:pPr>
          </w:p>
        </w:tc>
      </w:tr>
      <w:tr>
        <w:trPr>
          <w:trHeight w:val="53"/>
        </w:trPr>
        <w:tc>
          <w:tcPr>
            <w:tcW w:w="5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6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$ 9,292</w:t>
            </w:r>
          </w:p>
        </w:tc>
        <w:tc>
          <w:tcPr>
            <w:tcW w:w="1200" w:type="dxa"/>
            <w:vAlign w:val="bottom"/>
          </w:tcPr>
          <w:p>
            <w:pPr>
              <w:jc w:val="right"/>
              <w:ind w:right="179"/>
              <w:spacing w:after="0"/>
              <w:rPr>
                <w:sz w:val="20"/>
                <w:szCs w:val="20"/>
                <w:color w:val="auto"/>
              </w:rPr>
            </w:pPr>
            <w:r>
              <w:rPr>
                <w:rFonts w:ascii="Arial" w:cs="Arial" w:eastAsia="Arial" w:hAnsi="Arial"/>
                <w:sz w:val="18"/>
                <w:szCs w:val="18"/>
                <w:color w:val="auto"/>
              </w:rPr>
              <w:t>$10,429</w:t>
            </w:r>
          </w:p>
        </w:tc>
        <w:tc>
          <w:tcPr>
            <w:tcW w:w="780" w:type="dxa"/>
            <w:vAlign w:val="bottom"/>
          </w:tcPr>
          <w:p>
            <w:pPr>
              <w:jc w:val="right"/>
              <w:spacing w:after="0"/>
              <w:rPr>
                <w:sz w:val="20"/>
                <w:szCs w:val="20"/>
                <w:color w:val="auto"/>
              </w:rPr>
            </w:pPr>
            <w:r>
              <w:rPr>
                <w:rFonts w:ascii="Arial" w:cs="Arial" w:eastAsia="Arial" w:hAnsi="Arial"/>
                <w:sz w:val="18"/>
                <w:szCs w:val="18"/>
                <w:color w:val="auto"/>
              </w:rPr>
              <w:t>$10,062</w:t>
            </w:r>
          </w:p>
        </w:tc>
      </w:tr>
      <w:tr>
        <w:trPr>
          <w:trHeight w:val="54"/>
        </w:trPr>
        <w:tc>
          <w:tcPr>
            <w:tcW w:w="5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expenditures—network and other</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(4,963)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70"/>
        </w:trPr>
        <w:tc>
          <w:tcPr>
            <w:tcW w:w="5820" w:type="dxa"/>
            <w:vAlign w:val="bottom"/>
          </w:tcPr>
          <w:p>
            <w:pPr>
              <w:ind w:left="20"/>
              <w:spacing w:after="0"/>
              <w:rPr>
                <w:sz w:val="20"/>
                <w:szCs w:val="20"/>
                <w:color w:val="auto"/>
              </w:rPr>
            </w:pPr>
            <w:r>
              <w:rPr>
                <w:rFonts w:ascii="Arial" w:cs="Arial" w:eastAsia="Arial" w:hAnsi="Arial"/>
                <w:sz w:val="18"/>
                <w:szCs w:val="18"/>
                <w:color w:val="auto"/>
              </w:rPr>
              <w:t>Capital expenditures—leased devices</w:t>
            </w:r>
          </w:p>
        </w:tc>
        <w:tc>
          <w:tcPr>
            <w:tcW w:w="620" w:type="dxa"/>
            <w:vAlign w:val="bottom"/>
          </w:tcPr>
          <w:p>
            <w:pPr>
              <w:jc w:val="right"/>
              <w:spacing w:after="0"/>
              <w:rPr>
                <w:sz w:val="20"/>
                <w:szCs w:val="20"/>
                <w:color w:val="auto"/>
              </w:rPr>
            </w:pPr>
            <w:r>
              <w:rPr>
                <w:rFonts w:ascii="Arial" w:cs="Arial" w:eastAsia="Arial" w:hAnsi="Arial"/>
                <w:sz w:val="18"/>
                <w:szCs w:val="18"/>
                <w:color w:val="auto"/>
              </w:rPr>
              <w:t>(6,865)</w:t>
            </w:r>
          </w:p>
        </w:tc>
        <w:tc>
          <w:tcPr>
            <w:tcW w:w="1200" w:type="dxa"/>
            <w:vAlign w:val="bottom"/>
          </w:tcPr>
          <w:p>
            <w:pPr>
              <w:jc w:val="right"/>
              <w:ind w:right="139"/>
              <w:spacing w:after="0"/>
              <w:rPr>
                <w:sz w:val="20"/>
                <w:szCs w:val="20"/>
                <w:color w:val="auto"/>
              </w:rPr>
            </w:pPr>
            <w:r>
              <w:rPr>
                <w:rFonts w:ascii="Arial" w:cs="Arial" w:eastAsia="Arial" w:hAnsi="Arial"/>
                <w:sz w:val="18"/>
                <w:szCs w:val="18"/>
                <w:color w:val="auto"/>
              </w:rPr>
              <w:t>(7,441)</w:t>
            </w:r>
          </w:p>
        </w:tc>
        <w:tc>
          <w:tcPr>
            <w:tcW w:w="780" w:type="dxa"/>
            <w:vAlign w:val="bottom"/>
          </w:tcPr>
          <w:p>
            <w:pPr>
              <w:jc w:val="right"/>
              <w:spacing w:after="0"/>
              <w:rPr>
                <w:sz w:val="20"/>
                <w:szCs w:val="20"/>
                <w:color w:val="auto"/>
              </w:rPr>
            </w:pPr>
            <w:r>
              <w:rPr>
                <w:rFonts w:ascii="Arial" w:cs="Arial" w:eastAsia="Arial" w:hAnsi="Arial"/>
                <w:sz w:val="18"/>
                <w:szCs w:val="18"/>
                <w:color w:val="auto"/>
              </w:rPr>
              <w:t>(7,461)</w:t>
            </w:r>
          </w:p>
        </w:tc>
      </w:tr>
    </w:tbl>
    <w:p>
      <w:pPr>
        <w:spacing w:after="0" w:line="400" w:lineRule="exact"/>
        <w:rPr>
          <w:sz w:val="20"/>
          <w:szCs w:val="20"/>
          <w:color w:val="auto"/>
        </w:rPr>
      </w:pPr>
    </w:p>
    <w:p>
      <w:pPr>
        <w:ind w:left="660" w:right="359" w:hanging="350"/>
        <w:spacing w:after="0" w:line="23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i w:val="1"/>
          <w:iCs w:val="1"/>
          <w:color w:val="auto"/>
        </w:rPr>
        <w:t>An investment in the Notes involves a high degree of risk. Prior to making a decision about investing in the Notes, you should carefully consider the following risks and uncertainties, as well as those discussed under the caption “Risk Factors” in Parent’s Annual Report on Form 10-K for the year ended December 31, 2020 filed on February 23, 2020. If any of the risks described in this prospectus supplement, the accompanying prospectus or any related free writing prospectus, or the risks described in any documents incorporated by reference in this prospectus supplement, the accompanying prospectus or any related free writing prospectus, actually occur, our business, prospects, financial condition or operating results could be harmed. In such case, the trading price of the Notes could decline, and you may lose all or part of your investment.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the Notes</w:t>
      </w:r>
    </w:p>
    <w:p>
      <w:pPr>
        <w:spacing w:after="0" w:line="229" w:lineRule="exact"/>
        <w:rPr>
          <w:sz w:val="20"/>
          <w:szCs w:val="20"/>
          <w:color w:val="auto"/>
        </w:rPr>
      </w:pPr>
    </w:p>
    <w:p>
      <w:pPr>
        <w:ind w:left="300" w:right="819"/>
        <w:spacing w:after="0" w:line="308" w:lineRule="auto"/>
        <w:rPr>
          <w:sz w:val="20"/>
          <w:szCs w:val="20"/>
          <w:color w:val="auto"/>
        </w:rPr>
      </w:pPr>
      <w:r>
        <w:rPr>
          <w:rFonts w:ascii="Arial" w:cs="Arial" w:eastAsia="Arial" w:hAnsi="Arial"/>
          <w:sz w:val="17"/>
          <w:szCs w:val="17"/>
          <w:b w:val="1"/>
          <w:bCs w:val="1"/>
          <w:i w:val="1"/>
          <w:iCs w:val="1"/>
          <w:color w:val="auto"/>
        </w:rPr>
        <w:t>Our actual financial position and results of operations may differ materially from the unaudited pro forma financial information incorporated by reference in this prospectus supplement.</w:t>
      </w:r>
    </w:p>
    <w:p>
      <w:pPr>
        <w:spacing w:after="0" w:line="38"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pro forma financial information incorporated by reference in this prospectus supplement is presented for illustrative purposes only and may not be an accurate indication of what results of operations would have been had the Transactions been completed on the dates assumed. The pro forma financial information has been derived from the audited and unaudited historical financial statements of T-Mobile and Sprint, and certain adjustments and assumptions have been made regarding T-Mobile after giving effect to the Transactions.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Transactions, impacts of merger-related change in control provisions that are currently not factually supportable and/or probable of occurring, or the issuance of the Notes. The preliminary allocation of the purchase price to the acquired assets and assumed liabilities of Sprint was based on the estimate of fair value. For the preliminary fair values of the assets acquired and liabilities assumed, we used the cost, income and market approaches, including market participant assumptions. The unaudited pro forma adjustments are based upon available information and certain assumptions that T-Mobile believes are reasonable under the circumstances. Actual results may differ materially from the assumptions within the accompanying unaudited pro forma condensed combined financial information. The purchase adjustments relating to the Sprint and T-Mobile combined financial information are preliminary and subject to change as additional analyses are performed and finalized.</w:t>
      </w:r>
    </w:p>
    <w:p>
      <w:pPr>
        <w:spacing w:after="0" w:line="6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Such assumptions can be adversely affected by known or unknown facts, risks and uncertainties, many of which are beyond our control. Other factors may also affect our financial condition or results of operations. In view of these uncertainties, the inclusion and incorporation by reference of pro forma financial information in this prospectus supplement is for illustrative purposes and does not purport to project the future consolidated results of operations or consolidated financial condition for any future period or as of any future date. See the unaudited pro forma condensed combined financial information and related notes filed as Exhibit 99.1 to Parent’s Current Report on Form 8-K filed on March 16, 2021.</w:t>
      </w:r>
    </w:p>
    <w:p>
      <w:pPr>
        <w:spacing w:after="0" w:line="178" w:lineRule="exact"/>
        <w:rPr>
          <w:sz w:val="20"/>
          <w:szCs w:val="20"/>
          <w:color w:val="auto"/>
        </w:rPr>
      </w:pPr>
    </w:p>
    <w:p>
      <w:pPr>
        <w:ind w:left="300" w:right="479"/>
        <w:spacing w:after="0" w:line="342" w:lineRule="auto"/>
        <w:rPr>
          <w:sz w:val="20"/>
          <w:szCs w:val="20"/>
          <w:color w:val="auto"/>
        </w:rPr>
      </w:pPr>
      <w:r>
        <w:rPr>
          <w:rFonts w:ascii="Arial" w:cs="Arial" w:eastAsia="Arial" w:hAnsi="Arial"/>
          <w:sz w:val="16"/>
          <w:szCs w:val="16"/>
          <w:b w:val="1"/>
          <w:bCs w:val="1"/>
          <w:i w:val="1"/>
          <w:iCs w:val="1"/>
          <w:color w:val="auto"/>
        </w:rPr>
        <w:t>Our significant indebtedness could adversely affect our business, financial condition and operating results, and senior creditors would have a secured claim to any collateral securing the debt owed to them.</w:t>
      </w:r>
    </w:p>
    <w:p>
      <w:pPr>
        <w:spacing w:after="0" w:line="1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 xml:space="preserve">We have, and we expect that we will continue to have, a significant amount of debt. Assuming that on December 31, 2020, we had completed the Q1 Notes Issuances, and also completed this offering and used a portion of the net proceeds of this offering, together with cash on hand, to redeem the full $2.0 billion in aggregate principal amount of the Issuer’s 6.500% Senior Notes due 2026, we would have had approximately $81.4 billion of outstanding indebtedness and other obligations, excluding letter of credit obligations, including $36.3 billion of effectively senior outstanding secured indebtedness and $40.6 billion of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outstanding unsecured indebtedness. Our effectively senior, secured indebtedness would consist of $31.8 billion of Existing T-Mobile Secured Notes and an aggregate principal amount of $4.6 billion of Existing Sprint Spectrum-Backed Notes outstanding, with up to $2.4 billion remaining available for issuance, under the Sprint Spectrum Note Facility. Our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unsecured indebtedness would consist of $3.8 billion of Notes offered hereby, $14.1 billion of Existing T-Mobile Unsecured Notes, $19.8 billion of Existing Sprint Unsecured Notes, and approximately $3.0 billion in unsecured Tower Obligations. We also would have had $5.5 billion of revolving borrowings available on an effectively senior secured basis under the Credit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Our ability to make payments on our debt, to repay our indebtedness when due and to fund our capital intensive business and operations and significant planned capital expenditures will depend on our ability to generate cash in the future. There can be no assurance that sufficient funds will be available to us under our borrowings or otherwise. Our ability to produce cash from operations is subject to a number of risks, including:</w:t>
      </w:r>
    </w:p>
    <w:p>
      <w:pPr>
        <w:spacing w:after="0" w:line="63" w:lineRule="exact"/>
        <w:rPr>
          <w:sz w:val="20"/>
          <w:szCs w:val="20"/>
          <w:color w:val="auto"/>
        </w:rPr>
      </w:pPr>
    </w:p>
    <w:p>
      <w:pPr>
        <w:ind w:left="1000" w:right="4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 or changes in service plans or pricing by us or our competitors;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acceptance of our service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our costs and maintain our current cost structure;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grow our customer base and maintain projected levels of churn.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debt service obligations could have important material consequences to you, including the following:</w:t>
      </w:r>
    </w:p>
    <w:p>
      <w:pPr>
        <w:spacing w:after="0" w:line="129" w:lineRule="exact"/>
        <w:rPr>
          <w:sz w:val="20"/>
          <w:szCs w:val="20"/>
          <w:color w:val="auto"/>
        </w:rPr>
      </w:pPr>
    </w:p>
    <w:p>
      <w:pPr>
        <w:ind w:left="1000" w:right="79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limiting our ability to borrow money or sell stock to fund working capital, capital expenditures, debt service requirements, acquisitions, technological initiatives and other general corporate purposes;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making it more difficult for us to make payments on indebtedness and satisfy obligations under the Notes;</w:t>
      </w:r>
    </w:p>
    <w:p>
      <w:pPr>
        <w:spacing w:after="0" w:line="140" w:lineRule="exact"/>
        <w:rPr>
          <w:rFonts w:ascii="Arial" w:cs="Arial" w:eastAsia="Arial" w:hAnsi="Arial"/>
          <w:sz w:val="16"/>
          <w:szCs w:val="16"/>
          <w:color w:val="auto"/>
        </w:rPr>
      </w:pPr>
    </w:p>
    <w:p>
      <w:pPr>
        <w:ind w:left="1000" w:right="45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economic downturns, including as a result of pandemics and other macroeconomic conditions, and industry conditions and limiting our ability to withstand competitive pressure;</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the communications industry or pursuing growth opportunities;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increase our capital expenditures to roll out new services or to upgrade our networks to new technologies, such as LTE and 5G;</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purchase additional spectrum, expand existing service areas or develop new metropolitan areas in the future;</w:t>
      </w:r>
    </w:p>
    <w:p>
      <w:pPr>
        <w:spacing w:after="0" w:line="62"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reducing the amount of cash available for working capital needs, capital expenditures for existing and new markets and other corporate purposes by requiring us to dedicate a substantial portion of cash flow from operations to the payment of principal of, and interest on, indebtedness;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who are less leveraged than we are.</w:t>
      </w:r>
    </w:p>
    <w:p>
      <w:pPr>
        <w:spacing w:after="0" w:line="117"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Any of these risks could impair our ability to fund our operations or limit our ability to obtain additional spectrum, or expand our business as planned, which could have a material adverse effect on our business, financial condition and operating results. Any such risks could also have an adverse effect on the trading prices of the Notes.</w:t>
      </w:r>
    </w:p>
    <w:p>
      <w:pPr>
        <w:spacing w:after="0" w:line="41"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6"/>
          <w:szCs w:val="16"/>
          <w:color w:val="auto"/>
        </w:rPr>
        <w:t>To the extent we become party to any hedging arrangements, we may be exposed to credit-related losses in the event of nonperformance by counterparties to such hedging agreements. The primary credit exposure that we have with respect to such hedging agreements is that a counterparty will default on payments due, which could result in us having to acquire a replacement derivative from a different counterparty at a higher cost or we may be unable to find a suitable replacement. Although counterparties to any hedging agreements may be major financial institutions we would still be exposed to credit risk with these institutions. In addition, any netting and/or set off rights we may have through master netting arrangements with these counterparties may not apply to affiliates of a counterparty with whom we may have various other financial arrangements. If any financial institutions that are parties to any hedging agreements with us were to default on their payment obligations to us, declare bankruptcy or become insolvent, we may be unhedged against the underlying exposures. Any of these risks could have a material adverse effect on our business, financial condition and operating results. Additionally, if the counterparties’ and our obligations under any hedging agreements are required to be secured by cash or U.S. Treasury securities, any posting of collateral by us under such arrangements would negatively impact our liquidity. The modification or termination of any such hedging agreements could also negatively impact our liquidity or other financial metrics.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Some of our debt also has a floating rate of interest linked to various indices. If changes in the indices result in interest rate increases, debt service requirements will increase, which could adversely affect our cash flow and operating results.</w:t>
      </w:r>
    </w:p>
    <w:p>
      <w:pPr>
        <w:spacing w:after="0" w:line="7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In addition, any agreements we have and may continue to enter into to limit our exposure to interest rate increases may not offer complete protection from this risk, and any portion of our indebtedness not subject to such agreements would have full exposure to interest rate increases.</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Any of these risks could have a material adverse effect on our business, financial condition and operating results.</w:t>
      </w:r>
    </w:p>
    <w:p>
      <w:pPr>
        <w:spacing w:after="0" w:line="170"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b w:val="1"/>
          <w:bCs w:val="1"/>
          <w:i w:val="1"/>
          <w:iCs w:val="1"/>
          <w:color w:val="auto"/>
        </w:rPr>
        <w:t>Even with our current levels of indebtedness, we may incur additional indebtedness. This could further exacerbate the risks associated with our leverage.</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Although we have substantial indebtedness, we may still be able to incur significantly more debt, including more secured debt, as market conditions and contractual obligations permit, which could further reduce the cash available to us to invest in operations, as a result of increased debt service obligations. The terms of the agreements governing our long-term indebtedness allow for the incurrence of additional indebtedness by us and our subsidiaries, subject to specified limitations. In particular, as of December 31, 2020, we had $5.5 billion available for borrowings under the Revolving Credit Facility (as defined under “Description of Other Indebtedness and Certain Financing Transactions—Credit Agreement”). There can be no assurance that sufficient funds will be available to us under our existing indebtedness or otherwise. The more leveraged we become, the more we, and in turn the holders of our securities, become exposed to the risks described above in the risk factor entitled “Our significant indebtedness could adversely affect our business, financial condition and operating results, and senior creditors would have a secured claim to any collateral securing the debt owed to them.”</w:t>
      </w:r>
    </w:p>
    <w:p>
      <w:pPr>
        <w:spacing w:after="0" w:line="172"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b w:val="1"/>
          <w:bCs w:val="1"/>
          <w:i w:val="1"/>
          <w:iCs w:val="1"/>
          <w:color w:val="auto"/>
        </w:rPr>
        <w:t>The Notes and the Guarantees will be unsecured and effectively subordinated to the Issuer’s and the guarantors’ existing and future secured indebtedness, including the Existing T-Mobile Secured Notes and borrowings under the Credit Agreement.</w:t>
      </w:r>
    </w:p>
    <w:p>
      <w:pPr>
        <w:spacing w:after="0" w:line="76"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Notes and the Guarantees will be general unsecured, unsubordinated obligations ranking effectively junior in right of payment to all existing and future secured debt of Parent, the Issuer and of each Subsidiary Guarantor, including the Existing T-Mobile Secured Notes and borrowings under the Credit Agreement, to the extent of the value of the collateral securing such debt. The Notes also will permit us to incur certain additional secured debt.</w:t>
      </w:r>
    </w:p>
    <w:p>
      <w:pPr>
        <w:spacing w:after="0" w:line="49"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If the Issuer or a guarantor is declared bankrupt, becomes insolvent or is liquidated or reorganized, any secured debt of the Issuer or that guarantor, including under the Existing T-Mobile Secured Notes and the Credit Agreement, will be entitled to be paid in full from the assets of the Issuer or guarantor, as applicable, securing that debt before any payment may be made with respect to Notes or the Guarantees of such guarantor.</w:t>
      </w:r>
    </w:p>
    <w:p>
      <w:pPr>
        <w:spacing w:after="0" w:line="49"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Holders of the Notes will participate ratably in any remaining assets with all other holders of the Issuer’s and the guarantors’ unsecured obligations that are not by their terms subordinated to the Notes, based upon the respective amounts owed. In any of the foregoing events, there may not be sufficient assets to pay the indebtedness and other obligations owed to secured creditors and the amounts due on the Notes. As a result, holders of the Notes would likely receive less, ratably, than holders of secured obligations of the Issuer and the guarantors. It is possible that with respect to the Guarantees, there will be no assets from which claims of holders of the Notes can be satisfied.</w:t>
      </w:r>
    </w:p>
    <w:p>
      <w:pPr>
        <w:spacing w:after="0" w:line="195"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The Notes and the Guarantees will be structurally subordinated to the indebtedness and other liabilities of the Issuer’s non-guarantor subsidiaries.</w:t>
      </w:r>
    </w:p>
    <w:p>
      <w:pPr>
        <w:spacing w:after="0" w:line="62"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The Notes and the Guarantees will be structurally subordinated to any existing or future liabilities and other obligations of the Issuer’s or the guarantors’ non-guarantor subsidiaries, including the Existing Sprint Spectrum-Backed Notes, factoring arrangements and tower obligations. Accordingly, creditors of current and future subsidiaries of the Issuer or the guarantors that are not obligors with respect to the Notes would have claims with respect to the assets of those subsidiaries that would rank structurally senior to the Notes and the Guarantees. In the event of any distribution or payment of assets of such subsidiaries in any dissolution, winding up, liquidation, reorganization or other bankruptcy proceeding, the claims of those creditors would have to be satisfied prior to making any such distribution or payment to the Issuer or the applicable guarantor in respect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71" w:lineRule="auto"/>
        <w:rPr>
          <w:sz w:val="20"/>
          <w:szCs w:val="20"/>
          <w:color w:val="auto"/>
        </w:rPr>
      </w:pPr>
      <w:r>
        <w:rPr>
          <w:rFonts w:ascii="Arial" w:cs="Arial" w:eastAsia="Arial" w:hAnsi="Arial"/>
          <w:sz w:val="17"/>
          <w:szCs w:val="17"/>
          <w:color w:val="auto"/>
        </w:rPr>
        <w:t>direct or indirect equity interests in such subsidiaries. Certain subsidiaries of the Issuer that are prohibited from providing guarantees of the Notes (such as special purpose finance entities and a reinsurance subsidiary), as well as non-wholly owned and immaterial subsidiaries will not provide guarantees of the Notes. Assuming that on December 31, 2020, we had completed the Q1 Notes Issuances and all the Guarantees were in place, subsidiaries that will not provide guarantees of the Notes that were included in Parent’s consolidated financial statements as of such date had approximately $12.2 billion of total assets and approximately $6.7 billion in indebtedness and Tower Obligations outstanding. See “Description of Notes—Brief Description of the Notes and the Note Guarantees—The Note Guarantees.”</w:t>
      </w:r>
    </w:p>
    <w:p>
      <w:pPr>
        <w:spacing w:after="0" w:line="178"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In order to service our debt, we will require a significant amount of cash, which may not be available to us on attractive terms or at all.</w:t>
      </w:r>
    </w:p>
    <w:p>
      <w:pPr>
        <w:spacing w:after="0" w:line="62"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Our ability to meet existing or future debt obligations and to reduce indebtedness will depend on future performance and the other cash requirements of our businesses. Our performance, to a certain extent, is subject to general economic conditions and financial, competitive, business, political, regulatory and other factors, including third party rating agency assessments, that are beyond our control. In addition, our ability to borrow funds in the future to make payments on debt will depend on the satisfaction of covenants in the indentures governing the Notes and the Existing T-Mobile Secured Notes, the Existing T-Mobile Unsecured Notes and the Existing Sprint Unsecured Notes, the Credit Agreement, other debt agreements and other agreements we may enter into in the future. Specifically, under the Revolving Credit Facility under our Credit Agreement, we will need to maintain certain financial ratios on a quarterly basis. We cannot assure you that we will continue to generate sufficient cash flow from operations or that future equity issuances or borrowings will be available to us in an amount sufficient to enable us to satisfy financial covenants under the Credit Agreement, service our debt or repay our indebtedness in a timely manner or on favorable or commercially reasonable terms, or at all. If we are unable to satisfy financial covenants or to generate sufficient cash to timely repay our debt, our lenders could accelerate the maturity of some or all of our outstanding indebtedness. As a result, we may need to refinance all or a portion of our remaining existing indebtedness prior to its maturity. We also expect to need to refinance certain indebtedness. Disruptions in the financial markets, unfavorable rating agency assessments, the general amount of debt being refinanced at the same time, and our financial position and performance could make it more difficult to obtain debt or equity financing on favorable or commercially reasonable terms or at all. In addition, instability in the global financial markets has from time to time resulted in volatility in the capital markets. This volatility could limit our access to the credit markets, leading to higher borrowing costs or, in some cases, the inability to obtain financing on terms that are acceptable to us, or at all. Any such failure to obtain additional financing could jeopardize our ability to repay, refinance or reduce debt obligations. If we were able to obtain funds, it may not be on terms and conditions acceptable to us, which could limit or preclude our ability to pursue new opportunities, expand our service, upgrade our networks, engage in acquisitions or purchase additional spectrum, thus limiting our ability to expand our business, which could have a material adverse effect on our business, financial condition and operating results.</w:t>
      </w:r>
    </w:p>
    <w:p>
      <w:pPr>
        <w:spacing w:after="0" w:line="283"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Further, should we need to raise additional capital, the foreign ownership restrictions mandated by the FCC, and applicable to us, could limit our ability to attract additional equity financing outside the United States.</w:t>
      </w:r>
    </w:p>
    <w:p>
      <w:pPr>
        <w:spacing w:after="0" w:line="124"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b w:val="1"/>
          <w:bCs w:val="1"/>
          <w:i w:val="1"/>
          <w:iCs w:val="1"/>
          <w:color w:val="auto"/>
        </w:rPr>
        <w:t>Upon certain events including a change of control triggering event, we may be required to offer to repurchase all of the Notes, all of the Existing T-Mobile Secured Notes, all of the Existing T-Mobile Unsecured Notes, all of the Existing Sprint Spectrum-Backed Notes and certain of the Existing Sprint Unsecured Notes and to repay amounts owing under the Credit Agreement, and we may not be able to finance such a repurchase or repayment. Not all significant transactions would constitute a change of control triggering event.</w:t>
      </w:r>
    </w:p>
    <w:p>
      <w:pPr>
        <w:spacing w:after="0" w:line="53"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We have in the past been the subject of inquiries or offers related to potential strategic transactions (such as an acquisition of the Company), we may be the subject of such inquires or offers in the future, and we may engage in discussions or negotiations regarding such inquiries or offers that may ultimately lead to a transaction. The indentures governing the Existing T-Mobile Secured Notes, the Existing T-Mobile Unsecured Notes, the Existing Sprint Spectrum-Backed Notes and certain of the Existing Sprint Unsecured Notes, provide, and the indentures governing the Notes will provide, that, upon the occurrence of certain change of control triggering events, which change of control triggering events include a change of control combined with certain ratings downgrades or withdrawals as described further below, the Issuer will be required to offer to repurchase all outstanding Existing T-Mobile Secured Notes, Existing T-Mobile Unsecured Notes, all outstanding Existing Sprint Spectrum-Backed Notes, the applicable Existing Sprint Unsecured Notes and all outstanding Notes 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101% of the principal amount thereof plus accrued and unpaid interest, if any, to, but not including, the date of repurchase. See “Description of Notes—Repurchase at the Option of Holders—Change of Control Triggering Event” and “Description of Other Indebtedness and Certain Financing Transactions.” In addition, any such change of control triggering event is expected to cause an event of default under the Credit Agreement, entitling the lenders to declare all amounts outstanding thereunder to be immediately due and payable. Such a change of control would also trigger repayments with respect to our securitization transactions and capital leases. We may not have access to sufficient funds at the time of the change of control triggering event to make the required repurchases of the Notes, the Existing T-Mobile Secured Notes, the Existing T-Mobile Unsecured Notes, the Existing Sprint Spectrum-Backed Notes and the applicable Existing Sprint Unsecured Notes and to repay outstanding amounts under the Credit Agreement, or contractual restrictions may not allow such repurchases or repayments.</w:t>
      </w:r>
    </w:p>
    <w:p>
      <w:pPr>
        <w:spacing w:after="0" w:line="60"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Not all change of control transactions would trigger these repurchase or repayment obligations. Specifically, these repurchase or repayment obligations would not be triggered unless both (i) such a transaction constitutes a “Change of Control” under the applicable indenture or credit agreement and (ii) such “Change of Control” is accompanied or followed by certain downgrades or withdrawals of the credit rating with respect to the applicable notes (in the case of any such indenture) or T-Mobile USA (in the case of the Credit Agreement). In the event that we undergo a significant corporate transaction that does not constitute a change of control triggering event, the Notes and such other obligations generally would be permitted to remain outstanding in accordance with their terms.</w:t>
      </w:r>
    </w:p>
    <w:p>
      <w:pPr>
        <w:spacing w:after="0" w:line="58"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The failure to purchase the Notes, the Existing T-Mobile Secured Notes, the Existing T-Mobile Unsecured Notes, the Existing Sprint Spectrum-Backed Notes or the applicable Existing Sprint Unsecured Notes, as required under the respective indentures, would result in defaults under such indentures in addition to any events of default under the Credit Agreement resulting from a change of control triggering event thereunder, any of which could have material adverse consequences for us and the holders of the Notes. Any such event of default would likely trigger an event of default on other outstanding or future indebtedness.</w:t>
      </w:r>
    </w:p>
    <w:p>
      <w:pPr>
        <w:spacing w:after="0" w:line="178"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b w:val="1"/>
          <w:bCs w:val="1"/>
          <w:i w:val="1"/>
          <w:iCs w:val="1"/>
          <w:color w:val="auto"/>
        </w:rPr>
        <w:t>The indentures governing the Notes, the Existing T-Mobile Secured Notes, the Existing T-Mobile Unsecured Notes and the Existing Sprint Unsecured Notes, the Credit Agreement and other financing arrangements include or will include restrictive covenants that limit our operating flexibility.</w:t>
      </w:r>
    </w:p>
    <w:p>
      <w:pPr>
        <w:spacing w:after="0" w:line="5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indentures governing the Notes, the Existing T-Mobile Secured Notes, the Existing T-Mobile Unsecured Notes and the Existing Sprint Unsecured Notes, the Credit Agreement and other financing arrangements, impose (or, in the case of the indentures governing the Notes, will impose) significant operating and financial restrictions on us. These restrictions, subject in certain cases to customary baskets, exceptions and incurrence-based ratio tests, limit our and our subsidiaries’ ability to engage in some transactions. In particular, the Credit Agreement and the indentures governing the Existing T-Mobile Unsecured Notes include, and the indentures governing the Notes will include, restrictions limiting our and our subsidiaries’ ability to:</w:t>
      </w:r>
    </w:p>
    <w:p>
      <w:pPr>
        <w:spacing w:after="0" w:line="69"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 and issue preferred stock;</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redeem capital stock or make other restricted payments or investments (although we are able to make significant restricted payments under the Credit Agreement and the indentures governing the Existing T-Mobile Unsecured Notes);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buy assets, properties or licenses including by participating in future FCC auctions of spectrum or private sales of spectrum;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assets, properties or licenses that we have or in the future may procure;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payments.</w:t>
      </w:r>
    </w:p>
    <w:p>
      <w:pPr>
        <w:spacing w:after="0" w:line="11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addition, the indentures governing the Existing T-Mobile Secured Notes, the Existing T-Mobile Unsecured Notes and Existing Sprint Unsecured Notes and the Credit Agreement limit, and the indentures governing the Notes will limit, our and our subsidiaries’ ability to:</w:t>
      </w:r>
    </w:p>
    <w:p>
      <w:pPr>
        <w:spacing w:after="0" w:line="76"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or other encumbrances in respect of indebtedness for borrowed money;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mergers, business combinations or other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In addition, the Revolving Credit Facility (as defined under “Description of Other Indebtedness and Certain Financing Transactions—Credit Agreement”) contains a financial maintenance covenant, requiring us to maintain a total first lien net leverage ratio at the end of each fiscal quarter of 3.30:1.00 or less. Any future debt that we incur may contain financial maintenance covenants as well. These restrictions could limit our ability to obtain debt financing, repurchase stock, refinance or pay principal on our outstanding debt, complete acquisitions for cash or debt or react to changes in our operating environment or the economy.</w:t>
      </w:r>
    </w:p>
    <w:p>
      <w:pPr>
        <w:spacing w:after="0" w:line="70"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Any failure to comply with the restrictions of the indentures governing the Notes, the Existing T-Mobile Secured Notes, the Existing T-Mobile Unsecured Notes or the Existing Sprint Unsecured Notes, the Credit Agreement or other financing agreements may result in an event of default under these agreements, which in turn may result in defaults or acceleration of obligations under these agreements and other agreements, giving our lenders and other debt holders the right to terminate any commitments they had made to provide us with further funds and to require us to repay all amounts then outstanding. Any of these events would have a material adverse effect on our business, financial condition and operating results.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Guarantees may be released upon the occurrence of certain events.</w:t>
      </w:r>
    </w:p>
    <w:p>
      <w:pPr>
        <w:spacing w:after="0" w:line="11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The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78"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Restricted Subsidiary of the Issuer, if the sale or other disposition is not prohibited by the “Asset Sale” provisions of the Indenture;</w:t>
      </w:r>
    </w:p>
    <w:p>
      <w:pPr>
        <w:spacing w:after="0" w:line="79" w:lineRule="exact"/>
        <w:rPr>
          <w:rFonts w:ascii="Arial" w:cs="Arial" w:eastAsia="Arial" w:hAnsi="Arial"/>
          <w:sz w:val="18"/>
          <w:szCs w:val="18"/>
          <w:color w:val="auto"/>
        </w:rPr>
      </w:pPr>
    </w:p>
    <w:p>
      <w:pPr>
        <w:ind w:left="1000" w:right="379" w:hanging="348"/>
        <w:spacing w:after="0" w:line="272"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Guarantee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69" w:lineRule="exact"/>
        <w:rPr>
          <w:rFonts w:ascii="Arial" w:cs="Arial" w:eastAsia="Arial" w:hAnsi="Arial"/>
          <w:sz w:val="17"/>
          <w:szCs w:val="17"/>
          <w:color w:val="auto"/>
        </w:rPr>
      </w:pPr>
    </w:p>
    <w:p>
      <w:pPr>
        <w:jc w:val="both"/>
        <w:ind w:left="1000" w:right="419" w:hanging="348"/>
        <w:spacing w:after="0" w:line="286"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the legal defeasance, covenant defeasance, or satisfaction and discharge of the indentures governing the Notes as provided below under the captions “Description of Notes—Legal Defeasance and Covenant Defeasance” and “Description of Notes—Satisfaction and Discharge”;</w:t>
      </w:r>
    </w:p>
    <w:p>
      <w:pPr>
        <w:spacing w:after="0" w:line="57" w:lineRule="exact"/>
        <w:rPr>
          <w:rFonts w:ascii="Arial" w:cs="Arial" w:eastAsia="Arial" w:hAnsi="Arial"/>
          <w:sz w:val="17"/>
          <w:szCs w:val="17"/>
          <w:color w:val="auto"/>
        </w:rPr>
      </w:pPr>
    </w:p>
    <w:p>
      <w:pPr>
        <w:ind w:left="1000" w:right="55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liquidation or dissolution of any Subsidiary Guarantor, provided that no event of default under the indentures governing the Notes has occurred that is continuing;</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 (as defined in “Description of Notes—Certain Definitions”); or</w:t>
      </w:r>
    </w:p>
    <w:p>
      <w:pPr>
        <w:spacing w:after="0" w:line="62" w:lineRule="exact"/>
        <w:rPr>
          <w:rFonts w:ascii="Arial" w:cs="Arial" w:eastAsia="Arial" w:hAnsi="Arial"/>
          <w:sz w:val="18"/>
          <w:szCs w:val="18"/>
          <w:color w:val="auto"/>
        </w:rPr>
      </w:pPr>
    </w:p>
    <w:p>
      <w:pPr>
        <w:ind w:left="1000" w:right="75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Issuer designates any restricted subsidiary that is a guarantor to be an unrestricted subsidiary in accordance with the applicable provisions of the indentures governing the Notes.</w:t>
      </w:r>
    </w:p>
    <w:p>
      <w:pPr>
        <w:spacing w:after="0" w:line="3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If any such Guarantee is released, no holder of the Notes will have a claim as a creditor against the applicable guarantor, and the indebtedness and other liabilities of such former Subsidiary Guarantor will be structurally senior to the claim of any holder of the Notes. See “Description of Notes—Brief Description of the Notes and the Note Guarantees—The Note Guarantees.”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979"/>
        <w:spacing w:after="0" w:line="277" w:lineRule="auto"/>
        <w:rPr>
          <w:sz w:val="20"/>
          <w:szCs w:val="20"/>
          <w:color w:val="auto"/>
        </w:rPr>
      </w:pPr>
      <w:r>
        <w:rPr>
          <w:rFonts w:ascii="Arial" w:cs="Arial" w:eastAsia="Arial" w:hAnsi="Arial"/>
          <w:sz w:val="18"/>
          <w:szCs w:val="18"/>
          <w:b w:val="1"/>
          <w:bCs w:val="1"/>
          <w:i w:val="1"/>
          <w:iCs w:val="1"/>
          <w:color w:val="auto"/>
        </w:rPr>
        <w:t>The Guarantees may be avoidable and therefore not be enforceable because of fraudulent conveyance or fraudulent transfer laws.</w:t>
      </w:r>
    </w:p>
    <w:p>
      <w:pPr>
        <w:spacing w:after="0" w:line="62"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The Guarantees may be subject to review and potential avoidance under federal bankruptcy law or relevant state fraudulent conveyance laws if we or any guarantor file a petition for bankruptcy or our creditors file an involuntary petition for bankruptcy against us or any guarantor. Under these laws, if a court were to find that, at the time a guarantor incurred debt (including debt represented by the Guarantee), such guarantor:</w:t>
      </w:r>
    </w:p>
    <w:p>
      <w:pPr>
        <w:spacing w:after="0" w:line="63"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incurred this debt with the intent of hindering, delaying or defrauding current or future creditors; or</w:t>
      </w:r>
    </w:p>
    <w:p>
      <w:pPr>
        <w:spacing w:after="0" w:line="12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incurring this debt, and the guarantor:</w:t>
      </w:r>
    </w:p>
    <w:p>
      <w:pPr>
        <w:spacing w:after="0" w:line="62" w:lineRule="exact"/>
        <w:rPr>
          <w:rFonts w:ascii="Arial" w:cs="Arial" w:eastAsia="Arial" w:hAnsi="Arial"/>
          <w:sz w:val="18"/>
          <w:szCs w:val="18"/>
          <w:color w:val="auto"/>
        </w:rPr>
      </w:pPr>
    </w:p>
    <w:p>
      <w:pPr>
        <w:ind w:left="1360" w:right="359" w:hanging="348"/>
        <w:spacing w:after="0" w:line="277"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insolvent or was rendered insolvent by reason of the related financing transactions (including the issuance of the Guarantees);</w:t>
      </w:r>
    </w:p>
    <w:p>
      <w:pPr>
        <w:spacing w:after="0" w:line="62" w:lineRule="exact"/>
        <w:rPr>
          <w:rFonts w:ascii="Arial" w:cs="Arial" w:eastAsia="Arial" w:hAnsi="Arial"/>
          <w:sz w:val="18"/>
          <w:szCs w:val="18"/>
          <w:color w:val="auto"/>
        </w:rPr>
      </w:pPr>
    </w:p>
    <w:p>
      <w:pPr>
        <w:ind w:left="1360" w:right="899" w:hanging="348"/>
        <w:spacing w:after="0" w:line="263"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engaged in, or about to engage in, a business or transaction for which its remaining assets constituted unreasonably small capital to carry on its business as currently engaged in or contemplated; or</w:t>
      </w:r>
    </w:p>
    <w:p>
      <w:pPr>
        <w:spacing w:after="0" w:line="75" w:lineRule="exact"/>
        <w:rPr>
          <w:rFonts w:ascii="Arial" w:cs="Arial" w:eastAsia="Arial" w:hAnsi="Arial"/>
          <w:sz w:val="18"/>
          <w:szCs w:val="18"/>
          <w:color w:val="auto"/>
        </w:rPr>
      </w:pPr>
    </w:p>
    <w:p>
      <w:pPr>
        <w:ind w:left="1360" w:right="539" w:hanging="348"/>
        <w:spacing w:after="0" w:line="263"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these debts as they mature, as all of the foregoing terms are defined in or interpreted under the relevant fraudulent transfer or conveyance statutes;</w:t>
      </w:r>
    </w:p>
    <w:p>
      <w:pPr>
        <w:spacing w:after="0" w:line="76"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then the court could avoid the Guarantee or subordinate the amounts owing under the Guarantee to the guarantor’s presently existing or future debt or take other actions detrimental to you. In the event of a finding that a fraudulent transfer or conveyance occurred, you may not receive any repayment on the relevant Guarantee (and, consequently, the Notes), or may receive only a partial repayment.</w:t>
      </w:r>
    </w:p>
    <w:p>
      <w:pPr>
        <w:spacing w:after="0" w:line="79" w:lineRule="exact"/>
        <w:rPr>
          <w:sz w:val="20"/>
          <w:szCs w:val="20"/>
          <w:color w:val="auto"/>
        </w:rPr>
      </w:pPr>
    </w:p>
    <w:p>
      <w:pPr>
        <w:ind w:left="300" w:right="299" w:firstLine="360"/>
        <w:spacing w:after="0" w:line="290" w:lineRule="auto"/>
        <w:rPr>
          <w:sz w:val="20"/>
          <w:szCs w:val="20"/>
          <w:color w:val="auto"/>
        </w:rPr>
      </w:pPr>
      <w:r>
        <w:rPr>
          <w:rFonts w:ascii="Arial" w:cs="Arial" w:eastAsia="Arial" w:hAnsi="Arial"/>
          <w:sz w:val="16"/>
          <w:szCs w:val="16"/>
          <w:color w:val="auto"/>
        </w:rPr>
        <w:t>The measure of insolvency for purposes of the foregoing considerations will vary depending upon the law of the jurisdiction that is being applied in any such proceeding, such that we cannot be certain as to the standards a court would use to determine whether or not the Issuer or the guarantors were insolvent at the relevant time or, regardless of the insolvency standard applied by the court, that such court would not determine (i) that the Issuer or a guarantor were indeed insolvent on that date, (ii) that any payments to the holders of the Notes (including under the Guarantees) did not constitute preferences, fraudulent transfers or conveyances on other grounds or (iii) whether the Notes or any Guarantees would be subordinated to the Issuer’s or any of the guarantors’ other debt. Generally, however, an entity would be considered insolvent if, at the time it incurred the debt or issued the Guarantee:</w:t>
      </w:r>
    </w:p>
    <w:p>
      <w:pPr>
        <w:spacing w:after="0" w:line="5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sum of its debts, including contingent liabilities, is greater than its assets, at a fair valuation; or</w:t>
      </w:r>
    </w:p>
    <w:p>
      <w:pPr>
        <w:spacing w:after="0" w:line="128" w:lineRule="exact"/>
        <w:rPr>
          <w:rFonts w:ascii="Arial" w:cs="Arial" w:eastAsia="Arial" w:hAnsi="Arial"/>
          <w:sz w:val="17"/>
          <w:szCs w:val="17"/>
          <w:color w:val="auto"/>
        </w:rPr>
      </w:pPr>
    </w:p>
    <w:p>
      <w:pPr>
        <w:jc w:val="both"/>
        <w:ind w:left="1000" w:right="399" w:hanging="348"/>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the amount required to pay the probable liability on its total existing debts and liabilities, including contingent liabilities, as they become absolute and mature.</w:t>
      </w:r>
    </w:p>
    <w:p>
      <w:pPr>
        <w:spacing w:after="0" w:line="16"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As a general matter, value is given for a transfer or an obligation if, in exchange for the transfer or obligation, property is transferred or a valid antecedent debt is secured or satisfied. A court would likely find that a guarantor did not receive “reasonably equivalent value” (or fair consideration for) its Guarantee to the extent the guarantor did not obtain a reasonably equivalent benefit directly or indirectly from the issuance of the Notes. Thus, if the Guarantees were legally challenged, any Guarantee could be subject to the claim that, since the Guarantee was incurred for the benefit of the Issuer, and only indirectly for the benefit of the guarantor, the obligations of the applicable guarantor were incurred for less than “reasonably equivalent value” (or fair consideration). Therefore, if a court were to find that the applicable guarantor was insolvent or rendered insolvent by the incurrence of the Guarantee or one of the other conditions above (relating to the guarantor’s financial condition) were satisfied, the court could avoid the obligations under the Guarantees, subordinate them to the applicable guarantor’s other debt or take other action detrimental to the holders of the Notes.</w:t>
      </w:r>
    </w:p>
    <w:p>
      <w:pPr>
        <w:spacing w:after="0" w:line="74" w:lineRule="exact"/>
        <w:rPr>
          <w:sz w:val="20"/>
          <w:szCs w:val="20"/>
          <w:color w:val="auto"/>
        </w:rPr>
      </w:pPr>
    </w:p>
    <w:p>
      <w:pPr>
        <w:ind w:left="300" w:right="579" w:firstLine="360"/>
        <w:spacing w:after="0" w:line="311" w:lineRule="auto"/>
        <w:rPr>
          <w:sz w:val="20"/>
          <w:szCs w:val="20"/>
          <w:color w:val="auto"/>
        </w:rPr>
      </w:pPr>
      <w:r>
        <w:rPr>
          <w:rFonts w:ascii="Arial" w:cs="Arial" w:eastAsia="Arial" w:hAnsi="Arial"/>
          <w:sz w:val="16"/>
          <w:szCs w:val="16"/>
          <w:color w:val="auto"/>
        </w:rPr>
        <w:t>If a Guarantee is avoided as a fraudulent conveyance, fraudulent transfer, or preference, or found to be unenforceable for any other reason, you will not have a claim against that obligor and will only be our creditor or that of any guarantor whose obligation was not set aside or found to be unenforceable. In addition, the loss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a Guarantee generally will constitute an event of default under the indentures governing the Notes, the Existing T-Mobile Secured Notes and the Existing T-Mobile Unsecured Notes and the Credit Agreement, which events of default would allow the relevant noteholders or lenders to accelerate the amounts due and payable thereunder, and we may not be able to pay any such amounts.</w:t>
      </w:r>
    </w:p>
    <w:p>
      <w:pPr>
        <w:spacing w:after="0" w:line="79"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indentures governing the Notes will contain a provision intended to limit each guarantor’s liability to the maximum amount that it could incur without causing the incurrence of obligations under its Guarantee to be a fraudulent transfer. This provision may not be effective (as a legal matter or otherwise) to protect the Guarantees from being avoided under fraudulent transfer law, or may eliminate the guarantor’s obligations or reduce the guarantor’s obligations to an amount that effectively makes the Guarantee worthless. In a Florida bankruptcy court decision (which was subsequently reversed by a district court on other grounds and then reinstated by the applicable circuit court of appeals), this kind of provision was found to be ineffective to protect the Guarantees.</w:t>
      </w:r>
    </w:p>
    <w:p>
      <w:pPr>
        <w:spacing w:after="0" w:line="58"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In addition, any payment by us pursuant to the Notes or by a guarantor under a Guarantee made at a time we or such guarantor were found to be insolvent could be avoided as a preferential transfer under the U.S. Bankruptcy Code and required to be returned to us or such guarantor or to a fund for the benefit of our or such guarantor’s creditors if such payment is made to an insider within a one-year period prior to a bankruptcy filing or within 90 days for any non-insider party, and such payment would give such insider or non-insider party more than such party would have received in a distribution under the U.S. Bankruptcy Code in a hypothetical Chapter 7 case, subject to applicable defenses.</w:t>
      </w:r>
    </w:p>
    <w:p>
      <w:pPr>
        <w:spacing w:after="0" w:line="8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Finally, as a court of equity, the bankruptcy court may subordinate the claims in respect of the Notes or the Guarantees to other claims against us under the principle of equitable subordination if the court determines that (1) a holder of the Notes or the Guarantees engaged in some type of inequitable conduct, (2) the inequitable conduct resulted in injury to our other creditors or conferred an unfair advantage upon the holders of the Notes and (3) equitable subordination is not inconsistent with the provisions of the U.S. Bankruptcy Code.</w:t>
      </w:r>
    </w:p>
    <w:p>
      <w:pPr>
        <w:spacing w:after="0" w:line="311" w:lineRule="exact"/>
        <w:rPr>
          <w:sz w:val="20"/>
          <w:szCs w:val="20"/>
          <w:color w:val="auto"/>
        </w:rPr>
      </w:pPr>
    </w:p>
    <w:p>
      <w:pPr>
        <w:jc w:val="both"/>
        <w:ind w:left="300" w:right="1099"/>
        <w:spacing w:after="0" w:line="263" w:lineRule="auto"/>
        <w:rPr>
          <w:sz w:val="20"/>
          <w:szCs w:val="20"/>
          <w:color w:val="auto"/>
        </w:rPr>
      </w:pPr>
      <w:r>
        <w:rPr>
          <w:rFonts w:ascii="Arial" w:cs="Arial" w:eastAsia="Arial" w:hAnsi="Arial"/>
          <w:sz w:val="18"/>
          <w:szCs w:val="18"/>
          <w:b w:val="1"/>
          <w:bCs w:val="1"/>
          <w:i w:val="1"/>
          <w:iCs w:val="1"/>
          <w:color w:val="auto"/>
        </w:rPr>
        <w:t>The lenders under the Credit Agreement have the discretion to release any guarantors under the Credit Agreement in a variety of circumstances, which could cause those guarantors to be released from their guarantees of each series of the Notes.</w:t>
      </w:r>
    </w:p>
    <w:p>
      <w:pPr>
        <w:spacing w:after="0" w:line="76"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For so long as any obligations under the Credit Agreement remain outstanding, any guarantee of the Notes may be released without action by, or consent of, any holder of the Notes, if the related guarantor is no longer a guarantor of obligations under the Credit Agreement or certain other indebtedness of the Issuer or any other guarantor (except, in each case, by or as a result of payment under such guarantee or direct obligation). See “Description of Notes— Brief Description of the Notes and the Note Guarantees—The Note Guarantees.” The lenders under the Credit Agreement will have the discretion to release the guarantees under the Credit Agreement in a variety of circumstances. You will not have a claim as a creditor against any entity that is no longer a guarantor of the Notes, and the indebtedness and other liabilities, including trade payables, whether secured or unsecured, of former guarantor subsidiaries will be structurally senior to claims of holders of the Notes.</w:t>
      </w:r>
    </w:p>
    <w:p>
      <w:pPr>
        <w:spacing w:after="0" w:line="288"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b w:val="1"/>
          <w:bCs w:val="1"/>
          <w:i w:val="1"/>
          <w:iCs w:val="1"/>
          <w:color w:val="auto"/>
        </w:rPr>
        <w:t>Many of the covenants in the indentures governing the Notes will not apply if the Notes are rated investment grade.</w:t>
      </w:r>
    </w:p>
    <w:p>
      <w:pPr>
        <w:spacing w:after="0" w:line="62" w:lineRule="exact"/>
        <w:rPr>
          <w:sz w:val="20"/>
          <w:szCs w:val="20"/>
          <w:color w:val="auto"/>
        </w:rPr>
      </w:pPr>
    </w:p>
    <w:p>
      <w:pPr>
        <w:ind w:left="300" w:right="359" w:firstLine="360"/>
        <w:spacing w:after="0" w:line="284" w:lineRule="auto"/>
        <w:rPr>
          <w:sz w:val="20"/>
          <w:szCs w:val="20"/>
          <w:color w:val="auto"/>
        </w:rPr>
      </w:pPr>
      <w:r>
        <w:rPr>
          <w:rFonts w:ascii="Arial" w:cs="Arial" w:eastAsia="Arial" w:hAnsi="Arial"/>
          <w:sz w:val="16"/>
          <w:szCs w:val="16"/>
          <w:color w:val="auto"/>
        </w:rPr>
        <w:t>The indentures governing the Notes will provide that many of its covenants will cease to apply to us if the Notes are rated investment grade by at least two of Moody’s, S&amp;P and Fitch, provided at such time no default or event of default has occurred and is continuing. The indentures will further provide that these covenants will not be later reinstated in the event that the ratings of the Notes subsequently decline. These covenants restrict, among other things, our ability to pay dividends, to incur debt and to enter into certain other transactions. There can be no assurance that the Notes will ever be rated investment grade. However, termination of these covenants would allow us to engage in certain transactions that would not be permitted while these covenants were in force.</w:t>
      </w:r>
    </w:p>
    <w:p>
      <w:pPr>
        <w:spacing w:after="0" w:line="2" w:lineRule="exact"/>
        <w:rPr>
          <w:sz w:val="20"/>
          <w:szCs w:val="20"/>
          <w:color w:val="auto"/>
        </w:rPr>
      </w:pPr>
    </w:p>
    <w:p>
      <w:pPr>
        <w:ind w:left="300" w:right="319"/>
        <w:spacing w:after="0" w:line="292" w:lineRule="auto"/>
        <w:rPr>
          <w:sz w:val="20"/>
          <w:szCs w:val="20"/>
          <w:color w:val="auto"/>
        </w:rPr>
      </w:pPr>
      <w:r>
        <w:rPr>
          <w:rFonts w:ascii="Arial" w:cs="Arial" w:eastAsia="Arial" w:hAnsi="Arial"/>
          <w:sz w:val="16"/>
          <w:szCs w:val="16"/>
          <w:color w:val="auto"/>
        </w:rPr>
        <w:t>See “Description of Notes—Certain Covenants—Changes in Covenants When Notes Rated Investment Grade.” Although the indentures will continue to restrict the Issuer’s ability to create liens or other encumbrances after the Notes are rated investment grade by at least two of Moody’s, S&amp;P and Fitch, such covenant may be modified at the Issuer’s election, following such a rating event, to restrict only the Issuer and Material Subsidiaries (as defined under “Description of the Notes—Certain Definitions”) from incurring liens on principal properties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or upon capital stock or indebtedness of any Material Subsidiary that directly owns any principal property, subject to certain exceptions set forth in the indentures governing the Notes. See “Description of Notes—Certain Covenants— Liens.” In addition, at the Issuer’s election, following such a rating event, the Guarantees of the Subsidiary Guarantors may be released. See “—The Guarantees may be released upon the occurrence of certain events.”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or existing investors sell our debt securities after this offering, the market price of the Notes could decline.</w:t>
      </w:r>
    </w:p>
    <w:p>
      <w:pPr>
        <w:spacing w:after="0" w:line="15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market price of the Notes could decline as a result of our, or existing investors’, sales of the Issuer’s debt securities in the market after this offering, or the perception that such sales could occur. These sales, or the possibility that these sales may occur, also might make it more difficult for the Issuer to sell other debt securities in the future at a time and on terms that it deems appropriate.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that on December 31, 2020, we had completed the Q1 Notes Issuances, and also completed this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offering and used a portion of the net proceeds of this offering, together with cash on hand, to redeem the full $2.0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billion in aggregate principal amount of the Issuer’s 6.500% Senior Notes due 2026, we would have outstanding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approximately $73.9 billion in aggregate principal amount of debt securities, maturing in 2021 through 2060,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$36.3 billion of which would be senior secured debt securities and $37.6 billion of which would be senior unsecured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debt securities. Deutsche Telekom, which currently controls approximately 52.3% of the common stock of Parent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a fully diluted basis), holds approximately $4.8 billion of these debt securities, maturing in 2022 through 2028.</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on file an effective shelf registration statement with respect to these debt securities held by Deutsche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Telekom and Deutsche Telekom could sell all or any portion of them at any time.</w:t>
      </w:r>
    </w:p>
    <w:p>
      <w:pPr>
        <w:spacing w:after="0" w:line="359"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There is no guarantee that an active trading market for the Notes will exist or that you will be able to sell your Notes.</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An active trading market may not exist for the Notes. Historically, the market for non-investment grade debt has been subject to disruptions that have caused substantial volatility in the prices of securities similar to the notes. The market, if any, for the notes may not be free from similar disruptions, and any such disruptions may adversely affect the prices at which you may sell your notes if at all. In addition, subsequent to their initial issuance, the Notes may trade at a discount from their initial offering price, depending upon prevailing interest rates, the market for similar notes, our operating performance and financial condition and other factors. The Issuer does not intend to apply for the Notes to be listed on any securities exchange or to arrange for the Notes to be quoted on any quotation system. Further, the Notes are each a new issue of securities for which there is no established trading market. An active trading market may not develop for such Notes or, if developed, may not continue. If an active public trading market for the Notes does not develop or ceases to exist, the market price and liquidity of the Notes may be adversely affected.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trading prices for the Notes will be directly affected by many factors, including our credit rating.</w:t>
      </w:r>
    </w:p>
    <w:p>
      <w:pPr>
        <w:spacing w:after="0" w:line="129"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Credit rating agencies continually revise their ratings for companies they follow, including us. Changes in our performance, leverage or industry, or changes in the credit ratings agencies’ ratings methodologies, could lead to ratings downgrades. Any ratings downgrade could adversely affect the trading price of the Notes, or the trading market for the Notes, to the extent a trading market for the Notes exists or develops. The condition of the financial and credit markets and prevailing interest rates have fluctuated in the past and are likely to fluctuate in the future, and any fluctuation may impact the trading price of the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We estimate that the net proceeds from the sale of the Notes in this offering will be approximately $3.778 billion, after deducting underwriting discounts and commissions and estimated offering expenses payable by us.</w:t>
      </w:r>
    </w:p>
    <w:p>
      <w:pPr>
        <w:spacing w:after="0" w:line="16"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We intend to use $2.0 billion of the net proceeds from this offering to acquire spectrum licenses pursuant to the FCC’s C-Band spectrum Auction 107, with the remainder to be used, together with cash on hand, to redeem the Issuer’s 6.500% Senior Notes due 2026.</w:t>
      </w:r>
    </w:p>
    <w:p>
      <w:pPr>
        <w:spacing w:after="0" w:line="76"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Affiliates of certain of the underwriters have made commitments to provide us with secured bridge financing pursuant to that certain bridge commitment letter dated as of October 30, 2020, as amended on November 13, 2020, in an aggregate amount of up to $2.0 billion (reflecting commitment reductions as a result of the Q1 Notes Issuances). These commitments may be reduced by an amount equal to the aggregate gross proceeds of the Notes. See “Underwriting.”</w:t>
      </w:r>
    </w:p>
    <w:p>
      <w:pPr>
        <w:spacing w:after="0" w:line="80"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See “Description of Other Indebtedness and Certain Financing Transactions” for information on our outstanding indebtedness, including as to interest rate and maturity. Certain of the underwriters and/or their respective affiliates may be lenders under, or holders of, such indebtedness and would therefore receive any portion of the net proceeds of this offering used to repay such indebtedness. See “Underwriting.”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table below sets forth our cash and cash equivalents and capitalization as of December 31, 2020:</w:t>
      </w:r>
    </w:p>
    <w:p>
      <w:pPr>
        <w:spacing w:after="0" w:line="117" w:lineRule="exact"/>
        <w:rPr>
          <w:sz w:val="20"/>
          <w:szCs w:val="20"/>
          <w:color w:val="auto"/>
        </w:rPr>
      </w:pPr>
    </w:p>
    <w:p>
      <w:pPr>
        <w:ind w:left="2000" w:hanging="348"/>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000" w:right="1420" w:hanging="348"/>
        <w:spacing w:after="0" w:line="259"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as adjusted basis to give effect to the Q1 Notes Issuances and the additional payments made or expected to be made during the first quarter of 2021 of approximately $8.9 billion in relation to our total gross bid in the FCC’s C-Band spectrum Auction 107 of approximately $9.3 billion (not including any C-Band spectrum clearing costs); and</w:t>
      </w:r>
    </w:p>
    <w:p>
      <w:pPr>
        <w:spacing w:after="0" w:line="78" w:lineRule="exact"/>
        <w:rPr>
          <w:rFonts w:ascii="Arial" w:cs="Arial" w:eastAsia="Arial" w:hAnsi="Arial"/>
          <w:sz w:val="18"/>
          <w:szCs w:val="18"/>
          <w:color w:val="auto"/>
        </w:rPr>
      </w:pPr>
    </w:p>
    <w:p>
      <w:pPr>
        <w:ind w:left="2000" w:right="1400" w:hanging="348"/>
        <w:spacing w:after="0" w:line="263"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this offering and the use of a portion of the net proceeds of this offering, together with cash on hand, to redeem in full the $2.0 billion in aggregate principal amount of the Issuer’s 6.500% Senior Notes due 2026.</w:t>
      </w:r>
    </w:p>
    <w:p>
      <w:pPr>
        <w:spacing w:after="0" w:line="76" w:lineRule="exact"/>
        <w:rPr>
          <w:sz w:val="20"/>
          <w:szCs w:val="20"/>
          <w:color w:val="auto"/>
        </w:rPr>
      </w:pPr>
    </w:p>
    <w:p>
      <w:pPr>
        <w:ind w:left="1300" w:right="1380" w:firstLine="360"/>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related notes thereto included in Parent’s Annual Report on Form 10-K filed on February 23, 2021, which is incorporated by reference in this prospectus supplement.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920" w:type="dxa"/>
            <w:vAlign w:val="bottom"/>
            <w:gridSpan w:val="4"/>
          </w:tcPr>
          <w:p>
            <w:pPr>
              <w:ind w:left="5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7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Actual</w:t>
            </w: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As adjusted</w:t>
            </w:r>
          </w:p>
        </w:tc>
        <w:tc>
          <w:tcPr>
            <w:tcW w:w="21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5"/>
              </w:rPr>
              <w:t>As further</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1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80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6"/>
              </w:rPr>
              <w:t>$10,385</w:t>
            </w:r>
          </w:p>
        </w:tc>
        <w:tc>
          <w:tcPr>
            <w:tcW w:w="10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$4,466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r>
              <w:rPr>
                <w:rFonts w:ascii="Arial" w:cs="Arial" w:eastAsia="Arial" w:hAnsi="Arial"/>
                <w:sz w:val="29"/>
                <w:szCs w:val="29"/>
                <w:color w:val="auto"/>
                <w:vertAlign w:val="superscript"/>
              </w:rPr>
              <w:t>(1)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Debt:</w:t>
            </w:r>
          </w:p>
        </w:tc>
        <w:tc>
          <w:tcPr>
            <w:tcW w:w="4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0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Unsecured T-Mobile debt</w:t>
            </w:r>
          </w:p>
        </w:tc>
        <w:tc>
          <w:tcPr>
            <w:tcW w:w="7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Existing T-Mobile Unsecured Notes</w:t>
            </w: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4.000%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2022</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4.000%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2022-1 held by Deutsche Telekom</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6.000%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2023</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6.000%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2024</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5.125%</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2025</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6.500%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2026</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2,000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2,000</w:t>
            </w:r>
          </w:p>
        </w:tc>
        <w:tc>
          <w:tcPr>
            <w:tcW w:w="2140" w:type="dxa"/>
            <w:vAlign w:val="bottom"/>
            <w:gridSpan w:val="2"/>
          </w:tcPr>
          <w:p>
            <w:pPr>
              <w:jc w:val="right"/>
              <w:ind w:righ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4.500%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4.500%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2026-1 held by Deutsche Telekom</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2.250%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5.375%</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2027</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500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5.375%</w:t>
            </w:r>
          </w:p>
        </w:tc>
        <w:tc>
          <w:tcPr>
            <w:tcW w:w="488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rPr>
              <w:t>Senior Notes due 2027-1 held by Deutsche Telekom</w:t>
            </w:r>
            <w:r>
              <w:rPr>
                <w:rFonts w:ascii="Arial" w:cs="Arial" w:eastAsia="Arial" w:hAnsi="Arial"/>
                <w:sz w:val="29"/>
                <w:szCs w:val="29"/>
                <w:color w:val="auto"/>
                <w:vertAlign w:val="superscript"/>
              </w:rPr>
              <w:t>(2)</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1,250</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1,250</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4.750%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2028</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1,500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1,500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4.750%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2028-1 held by Deutsche Telekom</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1,500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2.625%</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Notes due 2029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2.875%</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2031</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Notes offered hereby</w:t>
            </w: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0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2.625% Senior Notes due 2026</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3.375% Senior Notes due 2029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1,250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0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3.500% Senior Notes due 2031</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5800" w:type="dxa"/>
            <w:vAlign w:val="bottom"/>
            <w:gridSpan w:val="2"/>
          </w:tcPr>
          <w:p>
            <w:pPr>
              <w:ind w:left="180"/>
              <w:spacing w:after="0" w:line="324" w:lineRule="exact"/>
              <w:rPr>
                <w:sz w:val="20"/>
                <w:szCs w:val="20"/>
                <w:color w:val="auto"/>
              </w:rPr>
            </w:pPr>
            <w:r>
              <w:rPr>
                <w:rFonts w:ascii="Arial" w:cs="Arial" w:eastAsia="Arial" w:hAnsi="Arial"/>
                <w:sz w:val="18"/>
                <w:szCs w:val="18"/>
                <w:color w:val="auto"/>
              </w:rPr>
              <w:t>Tower Obligations</w:t>
            </w:r>
            <w:r>
              <w:rPr>
                <w:rFonts w:ascii="Arial" w:cs="Arial" w:eastAsia="Arial" w:hAnsi="Arial"/>
                <w:sz w:val="29"/>
                <w:szCs w:val="29"/>
                <w:color w:val="auto"/>
                <w:vertAlign w:val="superscript"/>
              </w:rPr>
              <w:t>(3)</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3,028</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3,028</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3,028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Secured T-Mobile debt</w:t>
            </w:r>
          </w:p>
        </w:tc>
        <w:tc>
          <w:tcPr>
            <w:tcW w:w="7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Existing T-Mobile Secured Notes</w:t>
            </w: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3.500%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2025</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1.500%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Secured Notes due 2026</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3.750%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2027</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2.050%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Secured Notes due 2028</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1,750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1,750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1,750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3.875%</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2030</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7,000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tcPr>
          <w:p>
            <w:pPr>
              <w:ind w:left="1660"/>
              <w:spacing w:after="0"/>
              <w:rPr>
                <w:sz w:val="20"/>
                <w:szCs w:val="20"/>
                <w:color w:val="auto"/>
              </w:rPr>
            </w:pPr>
            <w:r>
              <w:rPr>
                <w:rFonts w:ascii="Arial" w:cs="Arial" w:eastAsia="Arial" w:hAnsi="Arial"/>
                <w:sz w:val="18"/>
                <w:szCs w:val="18"/>
                <w:color w:val="auto"/>
                <w:w w:val="88"/>
              </w:rPr>
              <w:t>2.550%</w:t>
            </w:r>
          </w:p>
        </w:tc>
        <w:tc>
          <w:tcPr>
            <w:tcW w:w="4880" w:type="dxa"/>
            <w:vAlign w:val="bottom"/>
          </w:tcPr>
          <w:p>
            <w:pPr>
              <w:ind w:left="40"/>
              <w:spacing w:after="0"/>
              <w:rPr>
                <w:sz w:val="20"/>
                <w:szCs w:val="20"/>
                <w:color w:val="auto"/>
              </w:rPr>
            </w:pPr>
            <w:r>
              <w:rPr>
                <w:rFonts w:ascii="Arial" w:cs="Arial" w:eastAsia="Arial" w:hAnsi="Arial"/>
                <w:sz w:val="18"/>
                <w:szCs w:val="18"/>
                <w:color w:val="auto"/>
              </w:rPr>
              <w:t>Senior Secured Notes due 2031</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2,500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2,500</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20" w:type="dxa"/>
            <w:vAlign w:val="bottom"/>
            <w:gridSpan w:val="2"/>
          </w:tcPr>
          <w:p>
            <w:pPr>
              <w:spacing w:after="0"/>
              <w:rPr>
                <w:sz w:val="4"/>
                <w:szCs w:val="4"/>
                <w:color w:val="auto"/>
              </w:rPr>
            </w:pPr>
          </w:p>
        </w:tc>
        <w:tc>
          <w:tcPr>
            <w:tcW w:w="4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8"/>
              </w:rPr>
              <w:t>2.250%</w:t>
            </w:r>
          </w:p>
        </w:tc>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Notes due 2031</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1,000</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80" w:type="dxa"/>
            <w:vAlign w:val="bottom"/>
          </w:tcPr>
          <w:p>
            <w:pPr>
              <w:ind w:left="3120"/>
              <w:spacing w:after="0"/>
              <w:rPr>
                <w:sz w:val="20"/>
                <w:szCs w:val="20"/>
                <w:color w:val="auto"/>
              </w:rPr>
            </w:pPr>
            <w:r>
              <w:rPr>
                <w:rFonts w:ascii="Arial" w:cs="Arial" w:eastAsia="Arial" w:hAnsi="Arial"/>
                <w:sz w:val="18"/>
                <w:szCs w:val="18"/>
                <w:color w:val="auto"/>
              </w:rPr>
              <w:t>S-27</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-7388860</wp:posOffset>
            </wp:positionV>
            <wp:extent cx="171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-7388860</wp:posOffset>
            </wp:positionV>
            <wp:extent cx="171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5" w:right="439" w:bottom="0" w:gutter="0" w:footer="0" w:header="0"/>
        </w:sectPr>
      </w:pPr>
    </w:p>
    <w:bookmarkStart w:id="34" w:name="page35"/>
    <w:bookmarkEnd w:id="34"/>
    <w:tbl>
      <w:tblPr>
        <w:tblLayout w:type="fixed"/>
        <w:tblInd w:w="300" w:type="dxa"/>
        <w:tblCellMar>
          <w:top w:w="0" w:type="dxa"/>
          <w:left w:w="0" w:type="dxa"/>
          <w:bottom w:w="0" w:type="dxa"/>
          <w:right w:w="0" w:type="dxa"/>
        </w:tblCellMar>
      </w:tblPr>
      <w:tr>
        <w:trPr>
          <w:trHeight w:val="186"/>
        </w:trPr>
        <w:tc>
          <w:tcPr>
            <w:tcW w:w="526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5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53"/>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Actual</w:t>
            </w: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As adjusted</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As further</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3"/>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4.375% Senior Secured Notes due 2040</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3.000% Senior Secured Notes due 2041</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2,500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2,500</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4.500% Senior Secured Notes due 2050</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3,000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3.300% Senior Secured Notes due 2051</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3,000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3,000</w:t>
            </w: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3.600% Senior Secured Notes due 2060</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4"/>
        </w:trPr>
        <w:tc>
          <w:tcPr>
            <w:tcW w:w="5260" w:type="dxa"/>
            <w:vAlign w:val="bottom"/>
          </w:tcPr>
          <w:p>
            <w:pPr>
              <w:ind w:left="180"/>
              <w:spacing w:after="0" w:line="324" w:lineRule="exact"/>
              <w:rPr>
                <w:sz w:val="20"/>
                <w:szCs w:val="20"/>
                <w:color w:val="auto"/>
              </w:rPr>
            </w:pPr>
            <w:r>
              <w:rPr>
                <w:rFonts w:ascii="Arial" w:cs="Arial" w:eastAsia="Arial" w:hAnsi="Arial"/>
                <w:sz w:val="18"/>
                <w:szCs w:val="18"/>
                <w:color w:val="auto"/>
              </w:rPr>
              <w:t>Credit Agreement</w:t>
            </w:r>
            <w:r>
              <w:rPr>
                <w:rFonts w:ascii="Arial" w:cs="Arial" w:eastAsia="Arial" w:hAnsi="Arial"/>
                <w:sz w:val="29"/>
                <w:szCs w:val="29"/>
                <w:color w:val="auto"/>
                <w:vertAlign w:val="superscript"/>
              </w:rPr>
              <w:t>(4)</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Unsecured Sprint debt</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7.250% senior notes due 2021</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2,250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2,250</w:t>
            </w:r>
          </w:p>
        </w:tc>
        <w:tc>
          <w:tcPr>
            <w:tcW w:w="80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7.875% senior notes due 2023</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4,250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4,250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7.125% senior notes due 2024</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2,500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2,500</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7.625% senior notes due 2025</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7.625% senior notes due 2026</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1,500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w:t>
            </w: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Communications, Inc. 11.500% senior notes due 2021</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Communications, Inc. 6.000% senior notes due 2022</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2,280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2,280</w:t>
            </w:r>
          </w:p>
        </w:tc>
        <w:tc>
          <w:tcPr>
            <w:tcW w:w="800" w:type="dxa"/>
            <w:vAlign w:val="bottom"/>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Capital Corporation 6.875% senior notes due 2028</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2,475</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Capital Corporation 8.750% senior notes due 2032</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2,000</w:t>
            </w: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Sprint debt</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Spectrum 3.360% Series 2016-1 A-1 Notes due 2021</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656</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656</w:t>
            </w: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Sprint Spectrum 4.738% Series 2018-1 A-1 Notes due 2025</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2,100</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color w:val="auto"/>
              </w:rPr>
              <w:t>Sprint Spectrum 5.152% Series 2018-1 A-2 Notes due 2028</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1,838</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1,838</w:t>
            </w:r>
          </w:p>
        </w:tc>
        <w:tc>
          <w:tcPr>
            <w:tcW w:w="80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2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(5)</w:t>
            </w: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4,483</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324"/>
        </w:trPr>
        <w:tc>
          <w:tcPr>
            <w:tcW w:w="5260" w:type="dxa"/>
            <w:vAlign w:val="bottom"/>
          </w:tcPr>
          <w:p>
            <w:pPr>
              <w:ind w:left="360"/>
              <w:spacing w:after="0" w:line="324" w:lineRule="exact"/>
              <w:rPr>
                <w:sz w:val="20"/>
                <w:szCs w:val="20"/>
                <w:color w:val="auto"/>
              </w:rPr>
            </w:pPr>
            <w:r>
              <w:rPr>
                <w:rFonts w:ascii="Arial" w:cs="Arial" w:eastAsia="Arial" w:hAnsi="Arial"/>
                <w:sz w:val="18"/>
                <w:szCs w:val="18"/>
                <w:color w:val="auto"/>
              </w:rPr>
              <w:t>Total debt and financing lease liabilities</w:t>
            </w:r>
            <w:r>
              <w:rPr>
                <w:rFonts w:ascii="Arial" w:cs="Arial" w:eastAsia="Arial" w:hAnsi="Arial"/>
                <w:sz w:val="29"/>
                <w:szCs w:val="29"/>
                <w:color w:val="auto"/>
                <w:vertAlign w:val="superscript"/>
              </w:rPr>
              <w:t>(6)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w w:val="90"/>
              </w:rPr>
              <w:t>76,660</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$ 79,639</w:t>
            </w:r>
          </w:p>
        </w:tc>
        <w:tc>
          <w:tcPr>
            <w:tcW w:w="800" w:type="dxa"/>
            <w:vAlign w:val="bottom"/>
          </w:tcPr>
          <w:p>
            <w:pPr>
              <w:jc w:val="right"/>
              <w:spacing w:after="0"/>
              <w:rPr>
                <w:sz w:val="20"/>
                <w:szCs w:val="20"/>
                <w:color w:val="auto"/>
              </w:rPr>
            </w:pPr>
            <w:r>
              <w:rPr>
                <w:rFonts w:ascii="Arial" w:cs="Arial" w:eastAsia="Arial" w:hAnsi="Arial"/>
                <w:sz w:val="18"/>
                <w:szCs w:val="18"/>
                <w:color w:val="auto"/>
              </w:rPr>
              <w:t>$ 81,417</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65,344</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65,344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65,344</w:t>
            </w:r>
          </w:p>
        </w:tc>
        <w:tc>
          <w:tcPr>
            <w:tcW w:w="0" w:type="dxa"/>
            <w:vAlign w:val="bottom"/>
          </w:tcPr>
          <w:p>
            <w:pPr>
              <w:spacing w:after="0"/>
              <w:rPr>
                <w:sz w:val="1"/>
                <w:szCs w:val="1"/>
                <w:color w:val="auto"/>
              </w:rPr>
            </w:pPr>
          </w:p>
        </w:tc>
      </w:tr>
      <w:tr>
        <w:trPr>
          <w:trHeight w:val="270"/>
        </w:trPr>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Total capitalization</w:t>
            </w:r>
          </w:p>
        </w:tc>
        <w:tc>
          <w:tcPr>
            <w:tcW w:w="1360" w:type="dxa"/>
            <w:vAlign w:val="bottom"/>
            <w:gridSpan w:val="3"/>
          </w:tcPr>
          <w:p>
            <w:pPr>
              <w:jc w:val="right"/>
              <w:ind w:right="52"/>
              <w:spacing w:after="0"/>
              <w:rPr>
                <w:sz w:val="20"/>
                <w:szCs w:val="20"/>
                <w:color w:val="auto"/>
              </w:rPr>
            </w:pPr>
            <w:r>
              <w:rPr>
                <w:rFonts w:ascii="Arial" w:cs="Arial" w:eastAsia="Arial" w:hAnsi="Arial"/>
                <w:sz w:val="18"/>
                <w:szCs w:val="18"/>
                <w:color w:val="auto"/>
              </w:rPr>
              <w:t>$142,004</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$144,983</w:t>
            </w:r>
          </w:p>
        </w:tc>
        <w:tc>
          <w:tcPr>
            <w:tcW w:w="800" w:type="dxa"/>
            <w:vAlign w:val="bottom"/>
          </w:tcPr>
          <w:p>
            <w:pPr>
              <w:jc w:val="right"/>
              <w:spacing w:after="0"/>
              <w:rPr>
                <w:sz w:val="20"/>
                <w:szCs w:val="20"/>
                <w:color w:val="auto"/>
              </w:rPr>
            </w:pPr>
            <w:r>
              <w:rPr>
                <w:rFonts w:ascii="Arial" w:cs="Arial" w:eastAsia="Arial" w:hAnsi="Arial"/>
                <w:sz w:val="18"/>
                <w:szCs w:val="18"/>
                <w:color w:val="auto"/>
              </w:rPr>
              <w:t>$146,761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-5099685</wp:posOffset>
            </wp:positionV>
            <wp:extent cx="171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-5099685</wp:posOffset>
            </wp:positionV>
            <wp:extent cx="1714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222885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0" w:lineRule="exact"/>
        <w:rPr>
          <w:sz w:val="20"/>
          <w:szCs w:val="20"/>
          <w:color w:val="auto"/>
        </w:rPr>
      </w:pPr>
    </w:p>
    <w:p>
      <w:pPr>
        <w:ind w:left="640" w:right="31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does not reflect the payment of $65 million in redemption premium, or accrued interest payable, in connection with the redemption of the Issuer’s 6.500% Senior Notes due 2026.</w:t>
      </w:r>
    </w:p>
    <w:p>
      <w:pPr>
        <w:spacing w:after="0" w:line="11" w:lineRule="exact"/>
        <w:rPr>
          <w:rFonts w:ascii="Arial" w:cs="Arial" w:eastAsia="Arial" w:hAnsi="Arial"/>
          <w:sz w:val="14"/>
          <w:szCs w:val="14"/>
          <w:color w:val="auto"/>
        </w:rPr>
      </w:pPr>
    </w:p>
    <w:p>
      <w:pPr>
        <w:ind w:left="640" w:right="59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Upon the closing of the Transactions, the maturity date applicable to the 5.375% Senior Notes due 2027-1 was amended from April 15, 2027 to April 15, 2022.</w:t>
      </w:r>
    </w:p>
    <w:p>
      <w:pPr>
        <w:spacing w:after="0" w:line="11" w:lineRule="exact"/>
        <w:rPr>
          <w:rFonts w:ascii="Arial" w:cs="Arial" w:eastAsia="Arial" w:hAnsi="Arial"/>
          <w:sz w:val="14"/>
          <w:szCs w:val="14"/>
          <w:color w:val="auto"/>
        </w:rPr>
      </w:pPr>
    </w:p>
    <w:p>
      <w:pPr>
        <w:ind w:left="640" w:right="33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financing obligations related to the Existing T-Mobile Tower Transactions (as defined under “Description of Other Indebtedness and Certain Financing Transactions—Existing T-Mobile Tower Transactions”).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Credit Agreement also provides for revolving borrowings up to $5.5 billion.</w:t>
      </w:r>
    </w:p>
    <w:p>
      <w:pPr>
        <w:spacing w:after="0" w:line="4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consists of financing lease liabilities, other obligations, unamortized premiums, discounts, debt issuance costs, consent fees and commitment letter fees.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does not include operating lease liabilities of $30.6 billion as of December 31,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T-MOBILE</w:t>
      </w:r>
    </w:p>
    <w:p>
      <w:pPr>
        <w:spacing w:after="0" w:line="121"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The following table sets forth selected consolidated financial data for the Company. The data should be read in conjunction with T-Mobile’s audited consolidated financial statements and related notes as of December 31, 2020 and 2019 and for the three years ended December 31, 2020 contained in Parent’s Annual Report on Form 10-K filed on February 23, 2021. The consolidated balance sheet data as of December 31, 2018, 2017 and 2016 and the consolidated statement of operations and consolidated cash flow data for the fiscal years ended December 31, 2017 and 2016 are derived from T-Mobile’s consolidated financial statements which are not included or incorporated by reference in this prospectus supplement.</w:t>
      </w:r>
    </w:p>
    <w:p>
      <w:pPr>
        <w:spacing w:after="0" w:line="69"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T-Mobile’s historical financial data may not be indicative of the results of operations or financial position to be expected in the future. In particular, on January 1, 2020, T-Mobile adopted ASU 2016-13, “Financial Instruments –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68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53"/>
        </w:trPr>
        <w:tc>
          <w:tcPr>
            <w:tcW w:w="46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service revenues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$50,395</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$34,500</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$32,441</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$30,525</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$28,085</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Equipment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17,312</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9,840</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10,009</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8,727</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68,397</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44,998</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43,310</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40,604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37,490</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680" w:type="dxa"/>
            <w:vAlign w:val="bottom"/>
          </w:tcPr>
          <w:p>
            <w:pPr>
              <w:ind w:left="180"/>
              <w:spacing w:after="0"/>
              <w:rPr>
                <w:sz w:val="20"/>
                <w:szCs w:val="20"/>
                <w:color w:val="auto"/>
              </w:rPr>
            </w:pPr>
            <w:r>
              <w:rPr>
                <w:rFonts w:ascii="Arial" w:cs="Arial" w:eastAsia="Arial" w:hAnsi="Arial"/>
                <w:sz w:val="18"/>
                <w:szCs w:val="18"/>
                <w:color w:val="auto"/>
                <w:w w:val="94"/>
              </w:rPr>
              <w:t>Cost of services, exclusive of depreciation and amortization</w:t>
            </w: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shown separately below</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11,878</w:t>
            </w:r>
          </w:p>
        </w:tc>
        <w:tc>
          <w:tcPr>
            <w:tcW w:w="580" w:type="dxa"/>
            <w:vAlign w:val="bottom"/>
          </w:tcPr>
          <w:p>
            <w:pPr>
              <w:jc w:val="right"/>
              <w:spacing w:after="0"/>
              <w:rPr>
                <w:sz w:val="20"/>
                <w:szCs w:val="20"/>
                <w:color w:val="auto"/>
              </w:rPr>
            </w:pPr>
            <w:r>
              <w:rPr>
                <w:rFonts w:ascii="Arial" w:cs="Arial" w:eastAsia="Arial" w:hAnsi="Arial"/>
                <w:sz w:val="18"/>
                <w:szCs w:val="18"/>
                <w:color w:val="auto"/>
              </w:rPr>
              <w:t>6,622</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6,307</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20"/>
                <w:szCs w:val="20"/>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equipment sales, exclusive of depreciation and</w:t>
            </w: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shown separately below</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14,139</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13,161</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12,259</w:t>
            </w:r>
          </w:p>
        </w:tc>
        <w:tc>
          <w:tcPr>
            <w:tcW w:w="22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11,378</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6,616</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6,486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6,243</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MetroPCS business combination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Gains on disposal of spectrum licenses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61,761</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38,001</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80" w:type="dxa"/>
            <w:vAlign w:val="bottom"/>
            <w:shd w:val="clear" w:color="auto" w:fill="CCEEFF"/>
          </w:tcPr>
          <w:p>
            <w:pPr>
              <w:spacing w:after="0"/>
              <w:rPr>
                <w:sz w:val="22"/>
                <w:szCs w:val="22"/>
                <w:color w:val="auto"/>
              </w:rPr>
            </w:pPr>
          </w:p>
        </w:tc>
      </w:tr>
      <w:tr>
        <w:trPr>
          <w:trHeight w:val="61"/>
        </w:trPr>
        <w:tc>
          <w:tcPr>
            <w:tcW w:w="46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16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18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-3745230</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-3745230</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-3745230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-3745230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50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2"/>
        </w:trPr>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(2,483)</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rPr>
              <w:t>(727)</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(835)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(408)</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(522)</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84"/>
        </w:trPr>
        <w:tc>
          <w:tcPr>
            <w:tcW w:w="1300" w:type="dxa"/>
            <w:vAlign w:val="bottom"/>
          </w:tcPr>
          <w:p>
            <w:pPr>
              <w:spacing w:after="0"/>
              <w:rPr>
                <w:sz w:val="24"/>
                <w:szCs w:val="24"/>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(3,106)</w:t>
            </w:r>
          </w:p>
        </w:tc>
        <w:tc>
          <w:tcPr>
            <w:tcW w:w="80" w:type="dxa"/>
            <w:vAlign w:val="bottom"/>
          </w:tcPr>
          <w:p>
            <w:pPr>
              <w:spacing w:after="0"/>
              <w:rPr>
                <w:sz w:val="24"/>
                <w:szCs w:val="24"/>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(1,119)</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4,603</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3,917</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3,161</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benefit</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   (786)</w:t>
            </w:r>
          </w:p>
        </w:tc>
        <w:tc>
          <w:tcPr>
            <w:tcW w:w="800" w:type="dxa"/>
            <w:vAlign w:val="bottom"/>
            <w:gridSpan w:val="4"/>
          </w:tcPr>
          <w:p>
            <w:pPr>
              <w:jc w:val="right"/>
              <w:ind w:right="10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(1,135)</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(1,029)</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$ 1,375</w:t>
            </w:r>
          </w:p>
        </w:tc>
        <w:tc>
          <w:tcPr>
            <w:tcW w:w="2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6"/>
              </w:rPr>
              <w:t>$  (867)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3,468</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2,888</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$ 4,536</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$ 1,460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2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58"/>
        </w:trPr>
        <w:tc>
          <w:tcPr>
            <w:tcW w:w="1300" w:type="dxa"/>
            <w:vAlign w:val="bottom"/>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$ 4,481</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$ 1,405</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Consolidated Cash Flow Data</w:t>
            </w: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8,640</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$ 6,824</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$ 3,899</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$ 3,831</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$ 2,779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(12,715)</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(4,125)</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13,010</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1"/>
              </w:rPr>
              <w:t>(2,374)</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(3,336)</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1300" w:type="dxa"/>
            <w:vAlign w:val="bottom"/>
          </w:tcPr>
          <w:p>
            <w:pPr>
              <w:spacing w:after="0"/>
              <w:rPr>
                <w:sz w:val="24"/>
                <w:szCs w:val="24"/>
                <w:color w:val="auto"/>
              </w:rPr>
            </w:pPr>
          </w:p>
        </w:tc>
      </w:tr>
      <w:tr>
        <w:trPr>
          <w:trHeight w:val="353"/>
        </w:trPr>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As of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2"/>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7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$ 23,885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$ 9,305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$ 8,281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$ 8,915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$14,217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21,984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23,359</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28,021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10,933</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right-of-use assets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3"/>
              </w:rPr>
              <w:t>Goodwill, spectrum licenses and other intangible assets, net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99,243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38,510</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37,658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37,266</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29,073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assets and equipment installment plan receivables due</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net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200,162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86,921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72,468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70,563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65,891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10,267</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61,830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10,958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12,124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12,121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21,832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14,582</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Tower obligations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3,028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2,557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2,590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Financing lease liabilities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1,346</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long-term liabilities, deferred rent expense and deferred</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8,220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8,580</w:t>
            </w: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65,344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28,789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24,718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22,559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18,236</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4500" w:type="dxa"/>
            <w:vAlign w:val="bottom"/>
          </w:tcPr>
          <w:p>
            <w:pPr>
              <w:ind w:left="4040"/>
              <w:spacing w:after="0"/>
              <w:rPr>
                <w:sz w:val="20"/>
                <w:szCs w:val="20"/>
                <w:color w:val="auto"/>
              </w:rPr>
            </w:pPr>
            <w:r>
              <w:rPr>
                <w:rFonts w:ascii="Arial" w:cs="Arial" w:eastAsia="Arial" w:hAnsi="Arial"/>
                <w:sz w:val="18"/>
                <w:szCs w:val="18"/>
                <w:color w:val="auto"/>
              </w:rPr>
              <w:t>S-30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-8425815</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-8425815</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-8425815</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-8425815</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-4165600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-4165600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-4165600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-4165600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SPRINT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Sprint. The data should be read in conjunction with Sprint’s audited consolidated financial statements and related notes as of March 31, 2020 and 2019 and for the three years ended March 31, 2020 contained in Exhibit 99.1 to Parent’s Current Report on Form 8-K filed on May 18, 2020. The consolidated balance sheet data as of March 31, 2018, 2017 and 2016 and the consolidated statement of operations data and cash flow data for the fiscal years ended March 31, 2017 and 2016 are derived from Sprint’s consolidated financial statements which are not included or incorporated by reference in this prospectus supplement. Sprint’s historical financial data may not be indicative of the results of operations or financial position to be expected in the future.</w:t>
      </w:r>
    </w:p>
    <w:p>
      <w:pPr>
        <w:spacing w:after="0" w:line="8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During the year ended March 31, 2018, Sprint recorded a $7.1 billion non-cash tax benefit through net income (loss) for the re-measurement of deferred tax assets and liabilities due to changes in tax laws included in the Tax Act. The re-measurement of deferred taxes had no impact on cash flows. See Note 12—Income Taxes in Notes to Sprint’s Consolidated Financial Statements contained in Exhibit 99.1 to Parent’s Current Report on Form 8-K filed on May 18, 2020 for additional information.</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On April 1, 2018, Sprint adopted ASU 2014-09, “Revenue from Contracts with Customers (Topic 606).”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contained in Exhibit 99.1 to Parent’s Current Report on Form 8-K filed on May 18, 2020 for additional information related to the adoption of this standard.</w:t>
      </w:r>
    </w:p>
    <w:p>
      <w:pPr>
        <w:spacing w:after="0" w:line="129" w:lineRule="exact"/>
        <w:rPr>
          <w:sz w:val="20"/>
          <w:szCs w:val="20"/>
          <w:color w:val="auto"/>
        </w:rPr>
      </w:pPr>
    </w:p>
    <w:p>
      <w:pPr>
        <w:jc w:val="center"/>
        <w:ind w:left="446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49530</wp:posOffset>
            </wp:positionV>
            <wp:extent cx="2503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16" w:lineRule="exact"/>
        <w:rPr>
          <w:sz w:val="20"/>
          <w:szCs w:val="20"/>
          <w:color w:val="auto"/>
        </w:rPr>
      </w:pPr>
    </w:p>
    <w:p>
      <w:pPr>
        <w:ind w:left="4960"/>
        <w:spacing w:after="0"/>
        <w:tabs>
          <w:tab w:leader="none" w:pos="5780" w:val="left"/>
          <w:tab w:leader="none" w:pos="6580" w:val="left"/>
          <w:tab w:leader="none" w:pos="740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49530</wp:posOffset>
            </wp:positionV>
            <wp:extent cx="25031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16"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$21,604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$22,857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$23,834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$25,368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$27,174</w:t>
            </w: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480" w:type="dxa"/>
            <w:vAlign w:val="bottom"/>
          </w:tcPr>
          <w:p>
            <w:pPr>
              <w:ind w:left="180"/>
              <w:spacing w:after="0"/>
              <w:rPr>
                <w:sz w:val="20"/>
                <w:szCs w:val="20"/>
                <w:color w:val="auto"/>
              </w:rPr>
            </w:pPr>
            <w:r>
              <w:rPr>
                <w:rFonts w:ascii="Arial" w:cs="Arial" w:eastAsia="Arial" w:hAnsi="Arial"/>
                <w:sz w:val="18"/>
                <w:szCs w:val="18"/>
                <w:color w:val="auto"/>
              </w:rPr>
              <w:t>Equipment rentals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operating revenues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31,821</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33,600</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33,347</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Depreciation—network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4,416</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4,245</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3,976</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3,982</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Depreciation—equipment rentals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44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Net (loss) income attributable to Sprint Corporation</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(1,943)</w:t>
            </w:r>
          </w:p>
        </w:tc>
        <w:tc>
          <w:tcPr>
            <w:tcW w:w="580" w:type="dxa"/>
            <w:vAlign w:val="bottom"/>
          </w:tcPr>
          <w:p>
            <w:pPr>
              <w:jc w:val="right"/>
              <w:spacing w:after="0"/>
              <w:rPr>
                <w:sz w:val="20"/>
                <w:szCs w:val="20"/>
                <w:color w:val="auto"/>
              </w:rPr>
            </w:pPr>
            <w:r>
              <w:rPr>
                <w:rFonts w:ascii="Arial" w:cs="Arial" w:eastAsia="Arial" w:hAnsi="Arial"/>
                <w:sz w:val="18"/>
                <w:szCs w:val="18"/>
                <w:color w:val="auto"/>
              </w:rPr>
              <w:t>7,389</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(1,206)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379" w:hanging="348"/>
        <w:spacing w:after="0" w:line="23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92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2"/>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4"/>
              </w:rPr>
              <w:t>Year ended March 31,</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$84,559</w:t>
            </w:r>
          </w:p>
        </w:tc>
        <w:tc>
          <w:tcPr>
            <w:tcW w:w="780" w:type="dxa"/>
            <w:vAlign w:val="bottom"/>
          </w:tcPr>
          <w:p>
            <w:pPr>
              <w:jc w:val="right"/>
              <w:spacing w:after="0"/>
              <w:rPr>
                <w:sz w:val="20"/>
                <w:szCs w:val="20"/>
                <w:color w:val="auto"/>
              </w:rPr>
            </w:pPr>
            <w:r>
              <w:rPr>
                <w:rFonts w:ascii="Arial" w:cs="Arial" w:eastAsia="Arial" w:hAnsi="Arial"/>
                <w:sz w:val="18"/>
                <w:szCs w:val="18"/>
                <w:color w:val="auto"/>
              </w:rPr>
              <w:t>$84,601</w:t>
            </w:r>
          </w:p>
        </w:tc>
        <w:tc>
          <w:tcPr>
            <w:tcW w:w="880" w:type="dxa"/>
            <w:vAlign w:val="bottom"/>
          </w:tcPr>
          <w:p>
            <w:pPr>
              <w:ind w:left="180"/>
              <w:spacing w:after="0"/>
              <w:rPr>
                <w:sz w:val="20"/>
                <w:szCs w:val="20"/>
                <w:color w:val="auto"/>
              </w:rPr>
            </w:pPr>
            <w:r>
              <w:rPr>
                <w:rFonts w:ascii="Arial" w:cs="Arial" w:eastAsia="Arial" w:hAnsi="Arial"/>
                <w:sz w:val="18"/>
                <w:szCs w:val="18"/>
                <w:color w:val="auto"/>
              </w:rPr>
              <w:t>$85,459</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$85,123</w:t>
            </w:r>
          </w:p>
        </w:tc>
        <w:tc>
          <w:tcPr>
            <w:tcW w:w="720" w:type="dxa"/>
            <w:vAlign w:val="bottom"/>
          </w:tcPr>
          <w:p>
            <w:pPr>
              <w:jc w:val="right"/>
              <w:spacing w:after="0"/>
              <w:rPr>
                <w:sz w:val="20"/>
                <w:szCs w:val="20"/>
                <w:color w:val="auto"/>
              </w:rPr>
            </w:pPr>
            <w:r>
              <w:rPr>
                <w:rFonts w:ascii="Arial" w:cs="Arial" w:eastAsia="Arial" w:hAnsi="Arial"/>
                <w:sz w:val="18"/>
                <w:szCs w:val="18"/>
                <w:color w:val="auto"/>
              </w:rPr>
              <w:t>$78,975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20,113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46,904</w:t>
            </w:r>
          </w:p>
        </w:tc>
        <w:tc>
          <w:tcPr>
            <w:tcW w:w="780" w:type="dxa"/>
            <w:vAlign w:val="bottom"/>
          </w:tcPr>
          <w:p>
            <w:pPr>
              <w:jc w:val="right"/>
              <w:spacing w:after="0"/>
              <w:rPr>
                <w:sz w:val="20"/>
                <w:szCs w:val="20"/>
                <w:color w:val="auto"/>
              </w:rPr>
            </w:pPr>
            <w:r>
              <w:rPr>
                <w:rFonts w:ascii="Arial" w:cs="Arial" w:eastAsia="Arial" w:hAnsi="Arial"/>
                <w:sz w:val="18"/>
                <w:szCs w:val="18"/>
                <w:color w:val="auto"/>
              </w:rPr>
              <w:t>47,832</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50,360</w:t>
            </w:r>
          </w:p>
        </w:tc>
        <w:tc>
          <w:tcPr>
            <w:tcW w:w="740" w:type="dxa"/>
            <w:vAlign w:val="bottom"/>
          </w:tcPr>
          <w:p>
            <w:pPr>
              <w:jc w:val="right"/>
              <w:spacing w:after="0"/>
              <w:rPr>
                <w:sz w:val="20"/>
                <w:szCs w:val="20"/>
                <w:color w:val="auto"/>
              </w:rPr>
            </w:pPr>
            <w:r>
              <w:rPr>
                <w:rFonts w:ascii="Arial" w:cs="Arial" w:eastAsia="Arial" w:hAnsi="Arial"/>
                <w:sz w:val="18"/>
                <w:szCs w:val="18"/>
                <w:color w:val="auto"/>
              </w:rPr>
              <w:t>50,484</w:t>
            </w:r>
          </w:p>
        </w:tc>
        <w:tc>
          <w:tcPr>
            <w:tcW w:w="720" w:type="dxa"/>
            <w:vAlign w:val="bottom"/>
          </w:tcPr>
          <w:p>
            <w:pPr>
              <w:jc w:val="right"/>
              <w:spacing w:after="0"/>
              <w:rPr>
                <w:sz w:val="20"/>
                <w:szCs w:val="20"/>
                <w:color w:val="auto"/>
              </w:rPr>
            </w:pPr>
            <w:r>
              <w:rPr>
                <w:rFonts w:ascii="Arial" w:cs="Arial" w:eastAsia="Arial" w:hAnsi="Arial"/>
                <w:sz w:val="18"/>
                <w:szCs w:val="18"/>
                <w:color w:val="auto"/>
              </w:rPr>
              <w:t>51,117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Total debt, finance lease and financing obligations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36,092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39,923</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40,892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25,855</w:t>
            </w:r>
          </w:p>
        </w:tc>
        <w:tc>
          <w:tcPr>
            <w:tcW w:w="780" w:type="dxa"/>
            <w:vAlign w:val="bottom"/>
          </w:tcPr>
          <w:p>
            <w:pPr>
              <w:jc w:val="right"/>
              <w:spacing w:after="0"/>
              <w:rPr>
                <w:sz w:val="20"/>
                <w:szCs w:val="20"/>
                <w:color w:val="auto"/>
              </w:rPr>
            </w:pPr>
            <w:r>
              <w:rPr>
                <w:rFonts w:ascii="Arial" w:cs="Arial" w:eastAsia="Arial" w:hAnsi="Arial"/>
                <w:sz w:val="18"/>
                <w:szCs w:val="18"/>
                <w:color w:val="auto"/>
              </w:rPr>
              <w:t>26,072</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26,356</w:t>
            </w:r>
          </w:p>
        </w:tc>
        <w:tc>
          <w:tcPr>
            <w:tcW w:w="740" w:type="dxa"/>
            <w:vAlign w:val="bottom"/>
          </w:tcPr>
          <w:p>
            <w:pPr>
              <w:jc w:val="right"/>
              <w:spacing w:after="0"/>
              <w:rPr>
                <w:sz w:val="20"/>
                <w:szCs w:val="20"/>
                <w:color w:val="auto"/>
              </w:rPr>
            </w:pPr>
            <w:r>
              <w:rPr>
                <w:rFonts w:ascii="Arial" w:cs="Arial" w:eastAsia="Arial" w:hAnsi="Arial"/>
                <w:sz w:val="18"/>
                <w:szCs w:val="18"/>
                <w:color w:val="auto"/>
              </w:rPr>
              <w:t>18,808</w:t>
            </w:r>
          </w:p>
        </w:tc>
        <w:tc>
          <w:tcPr>
            <w:tcW w:w="720" w:type="dxa"/>
            <w:vAlign w:val="bottom"/>
          </w:tcPr>
          <w:p>
            <w:pPr>
              <w:jc w:val="right"/>
              <w:spacing w:after="0"/>
              <w:rPr>
                <w:sz w:val="20"/>
                <w:szCs w:val="20"/>
                <w:color w:val="auto"/>
              </w:rPr>
            </w:pPr>
            <w:r>
              <w:rPr>
                <w:rFonts w:ascii="Arial" w:cs="Arial" w:eastAsia="Arial" w:hAnsi="Arial"/>
                <w:sz w:val="18"/>
                <w:szCs w:val="18"/>
                <w:color w:val="auto"/>
              </w:rPr>
              <w:t>19,783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352"/>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(in millions)</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operating activities</w:t>
            </w:r>
          </w:p>
        </w:tc>
        <w:tc>
          <w:tcPr>
            <w:tcW w:w="1380" w:type="dxa"/>
            <w:vAlign w:val="bottom"/>
            <w:gridSpan w:val="3"/>
          </w:tcPr>
          <w:p>
            <w:pPr>
              <w:jc w:val="right"/>
              <w:ind w:right="170"/>
              <w:spacing w:after="0"/>
              <w:rPr>
                <w:sz w:val="20"/>
                <w:szCs w:val="20"/>
                <w:color w:val="auto"/>
              </w:rPr>
            </w:pPr>
            <w:r>
              <w:rPr>
                <w:rFonts w:ascii="Arial" w:cs="Arial" w:eastAsia="Arial" w:hAnsi="Arial"/>
                <w:sz w:val="18"/>
                <w:szCs w:val="18"/>
                <w:color w:val="auto"/>
              </w:rPr>
              <w:t>$ 9,292</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w w:val="89"/>
              </w:rPr>
              <w:t>$10,429</w:t>
            </w:r>
          </w:p>
        </w:tc>
        <w:tc>
          <w:tcPr>
            <w:tcW w:w="880" w:type="dxa"/>
            <w:vAlign w:val="bottom"/>
          </w:tcPr>
          <w:p>
            <w:pPr>
              <w:jc w:val="center"/>
              <w:ind w:right="76"/>
              <w:spacing w:after="0"/>
              <w:rPr>
                <w:sz w:val="20"/>
                <w:szCs w:val="20"/>
                <w:color w:val="auto"/>
              </w:rPr>
            </w:pPr>
            <w:r>
              <w:rPr>
                <w:rFonts w:ascii="Arial" w:cs="Arial" w:eastAsia="Arial" w:hAnsi="Arial"/>
                <w:sz w:val="18"/>
                <w:szCs w:val="18"/>
                <w:color w:val="auto"/>
                <w:w w:val="92"/>
              </w:rPr>
              <w:t>$10,062</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2"/>
              </w:rPr>
              <w:t>$(3,290)</w:t>
            </w:r>
          </w:p>
        </w:tc>
        <w:tc>
          <w:tcPr>
            <w:tcW w:w="720" w:type="dxa"/>
            <w:vAlign w:val="bottom"/>
          </w:tcPr>
          <w:p>
            <w:pPr>
              <w:jc w:val="right"/>
              <w:spacing w:after="0"/>
              <w:rPr>
                <w:sz w:val="20"/>
                <w:szCs w:val="20"/>
                <w:color w:val="auto"/>
              </w:rPr>
            </w:pPr>
            <w:r>
              <w:rPr>
                <w:rFonts w:ascii="Arial" w:cs="Arial" w:eastAsia="Arial" w:hAnsi="Arial"/>
                <w:sz w:val="18"/>
                <w:szCs w:val="18"/>
                <w:color w:val="auto"/>
              </w:rPr>
              <w:t>$  (423)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expenditures—network and other</w:t>
            </w:r>
          </w:p>
        </w:tc>
        <w:tc>
          <w:tcPr>
            <w:tcW w:w="1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(4,282)</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(4,963)</w:t>
            </w: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(3,319)</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(1,950)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Capital expenditures—leased devices</w:t>
            </w:r>
          </w:p>
        </w:tc>
        <w:tc>
          <w:tcPr>
            <w:tcW w:w="1380" w:type="dxa"/>
            <w:vAlign w:val="bottom"/>
            <w:gridSpan w:val="3"/>
          </w:tcPr>
          <w:p>
            <w:pPr>
              <w:jc w:val="right"/>
              <w:ind w:right="110"/>
              <w:spacing w:after="0"/>
              <w:rPr>
                <w:sz w:val="20"/>
                <w:szCs w:val="20"/>
                <w:color w:val="auto"/>
              </w:rPr>
            </w:pPr>
            <w:r>
              <w:rPr>
                <w:rFonts w:ascii="Arial" w:cs="Arial" w:eastAsia="Arial" w:hAnsi="Arial"/>
                <w:sz w:val="18"/>
                <w:szCs w:val="18"/>
                <w:color w:val="auto"/>
              </w:rPr>
              <w:t>(6,865)</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(7,441)</w:t>
            </w:r>
          </w:p>
        </w:tc>
        <w:tc>
          <w:tcPr>
            <w:tcW w:w="880" w:type="dxa"/>
            <w:vAlign w:val="bottom"/>
          </w:tcPr>
          <w:p>
            <w:pPr>
              <w:ind w:left="180"/>
              <w:spacing w:after="0"/>
              <w:rPr>
                <w:sz w:val="20"/>
                <w:szCs w:val="20"/>
                <w:color w:val="auto"/>
              </w:rPr>
            </w:pPr>
            <w:r>
              <w:rPr>
                <w:rFonts w:ascii="Arial" w:cs="Arial" w:eastAsia="Arial" w:hAnsi="Arial"/>
                <w:sz w:val="18"/>
                <w:szCs w:val="18"/>
                <w:color w:val="auto"/>
              </w:rPr>
              <w:t>(7,461)</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(4,976)</w:t>
            </w:r>
          </w:p>
        </w:tc>
        <w:tc>
          <w:tcPr>
            <w:tcW w:w="720" w:type="dxa"/>
            <w:vAlign w:val="bottom"/>
          </w:tcPr>
          <w:p>
            <w:pPr>
              <w:jc w:val="right"/>
              <w:spacing w:after="0"/>
              <w:rPr>
                <w:sz w:val="20"/>
                <w:szCs w:val="20"/>
                <w:color w:val="auto"/>
              </w:rPr>
            </w:pPr>
            <w:r>
              <w:rPr>
                <w:rFonts w:ascii="Arial" w:cs="Arial" w:eastAsia="Arial" w:hAnsi="Arial"/>
                <w:sz w:val="18"/>
                <w:szCs w:val="18"/>
                <w:color w:val="auto"/>
              </w:rPr>
              <w:t>(5,898)</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80" w:type="dxa"/>
            <w:vAlign w:val="bottom"/>
            <w:gridSpan w:val="3"/>
          </w:tcPr>
          <w:p>
            <w:pPr>
              <w:jc w:val="right"/>
              <w:ind w:right="830"/>
              <w:spacing w:after="0"/>
              <w:rPr>
                <w:sz w:val="20"/>
                <w:szCs w:val="20"/>
                <w:color w:val="auto"/>
              </w:rPr>
            </w:pPr>
            <w:r>
              <w:rPr>
                <w:rFonts w:ascii="Arial" w:cs="Arial" w:eastAsia="Arial" w:hAnsi="Arial"/>
                <w:sz w:val="18"/>
                <w:szCs w:val="18"/>
                <w:color w:val="auto"/>
              </w:rPr>
              <w:t>S-32</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-3505200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-3505200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-3505200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-3505200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-1422400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-1422400</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-1422400</wp:posOffset>
            </wp:positionV>
            <wp:extent cx="120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-1422400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DESCRIPTION OF OTHER INDEBTEDNESS AND CERTAIN FINANCING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Unsecured Notes</w:t>
      </w:r>
    </w:p>
    <w:p>
      <w:pPr>
        <w:spacing w:after="0" w:line="121"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T-Mobile USA’s senior unsecured notes set forth in the table below (collectively, the “Existing T-Mobile Unsecured Notes”) are currently outstanding. The Notes offered hereby will be issued under the same base indenture as the Existing T-Mobile Unsecured Notes. The Notes will be guaranteed on the same basis by all of the guarantors providing guarantees of the Existing T-Mobile Unsecured Notes. The Existing T-Mobile Unsecured Notes are T-Mobile USA’s unsecured obligations, are guaranteed on a senior unsecured basis by Parent and by all of T-Mobile USA’s wholly-owned domestic restricted subsidiaries, including Sprint and its operating company subsidiaries (other than, in each case, certain designated special purpose entities, a reinsurance subsidiary and immaterial subsidiaries) and are required to be guaranteed by all of T-Mobile USA’s restricted subsidiaries that guarantee certain of T-Mobile USA’s indebtedness and any future subsidiary of Parent that directly or indirectly owns any of T-Mobile USA’s equity interests. T-Mobile USA may, at its option, redeem some or all of the Existing T-Mobile Unsecured Notes at any time on or after the dates set forth below under “Earliest Optional Redemption” at the redemption price set forth in the governing indenture, or prior to such dates at a specified “make-whole” redemption price plus accrued and unpaid interest to, but not including, the redemption date.</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Principal</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Interest</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Earliest</w:t>
            </w:r>
          </w:p>
        </w:tc>
      </w:tr>
      <w:tr>
        <w:trPr>
          <w:trHeight w:val="134"/>
        </w:trPr>
        <w:tc>
          <w:tcPr>
            <w:tcW w:w="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00"/>
              <w:spacing w:after="0" w:line="134" w:lineRule="exact"/>
              <w:rPr>
                <w:sz w:val="20"/>
                <w:szCs w:val="20"/>
                <w:color w:val="auto"/>
              </w:rPr>
            </w:pPr>
            <w:r>
              <w:rPr>
                <w:rFonts w:ascii="Arial" w:cs="Arial" w:eastAsia="Arial" w:hAnsi="Arial"/>
                <w:sz w:val="13"/>
                <w:szCs w:val="13"/>
                <w:b w:val="1"/>
                <w:bCs w:val="1"/>
                <w:color w:val="auto"/>
                <w:w w:val="91"/>
              </w:rPr>
              <w:t>Amount as of</w:t>
            </w: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Payment</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Optional</w:t>
            </w:r>
          </w:p>
        </w:tc>
      </w:tr>
      <w:tr>
        <w:trPr>
          <w:trHeight w:val="243"/>
        </w:trPr>
        <w:tc>
          <w:tcPr>
            <w:tcW w:w="5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Series</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5"/>
          </w:tcPr>
          <w:p>
            <w:pPr>
              <w:jc w:val="center"/>
              <w:spacing w:after="0" w:line="243" w:lineRule="exact"/>
              <w:rPr>
                <w:sz w:val="20"/>
                <w:szCs w:val="20"/>
                <w:color w:val="auto"/>
              </w:rPr>
            </w:pPr>
            <w:r>
              <w:rPr>
                <w:rFonts w:ascii="Arial" w:cs="Arial" w:eastAsia="Arial" w:hAnsi="Arial"/>
                <w:sz w:val="13"/>
                <w:szCs w:val="13"/>
                <w:b w:val="1"/>
                <w:bCs w:val="1"/>
                <w:color w:val="auto"/>
                <w:w w:val="90"/>
              </w:rPr>
              <w:t>December 31, 2020</w:t>
            </w:r>
            <w:r>
              <w:rPr>
                <w:rFonts w:ascii="Arial" w:cs="Arial" w:eastAsia="Arial" w:hAnsi="Arial"/>
                <w:sz w:val="22"/>
                <w:szCs w:val="22"/>
                <w:b w:val="1"/>
                <w:bCs w:val="1"/>
                <w:color w:val="auto"/>
                <w:w w:val="90"/>
                <w:vertAlign w:val="superscript"/>
              </w:rPr>
              <w:t>(1)</w:t>
            </w:r>
          </w:p>
        </w:tc>
        <w:tc>
          <w:tcPr>
            <w:tcW w:w="1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Issue Date</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Dates</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Maturity</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Redemption</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4.000%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16, 2017</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15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April 15, 2022</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March 16, 2022</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October 15</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4.000%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2022-1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27, 2017</w:t>
            </w:r>
          </w:p>
        </w:tc>
        <w:tc>
          <w:tcPr>
            <w:tcW w:w="1040" w:type="dxa"/>
            <w:vAlign w:val="bottom"/>
            <w:gridSpan w:val="2"/>
          </w:tcPr>
          <w:p>
            <w:pPr>
              <w:spacing w:after="0"/>
              <w:rPr>
                <w:sz w:val="20"/>
                <w:szCs w:val="20"/>
                <w:color w:val="auto"/>
              </w:rPr>
            </w:pPr>
            <w:r>
              <w:rPr>
                <w:rFonts w:ascii="Arial" w:cs="Arial" w:eastAsia="Arial" w:hAnsi="Arial"/>
                <w:sz w:val="15"/>
                <w:szCs w:val="15"/>
                <w:color w:val="auto"/>
              </w:rPr>
              <w:t>April 15 and</w:t>
            </w:r>
          </w:p>
        </w:tc>
        <w:tc>
          <w:tcPr>
            <w:tcW w:w="1080" w:type="dxa"/>
            <w:vAlign w:val="bottom"/>
          </w:tcPr>
          <w:p>
            <w:pPr>
              <w:spacing w:after="0"/>
              <w:rPr>
                <w:sz w:val="20"/>
                <w:szCs w:val="20"/>
                <w:color w:val="auto"/>
              </w:rPr>
            </w:pPr>
            <w:r>
              <w:rPr>
                <w:rFonts w:ascii="Arial" w:cs="Arial" w:eastAsia="Arial" w:hAnsi="Arial"/>
                <w:sz w:val="15"/>
                <w:szCs w:val="15"/>
                <w:color w:val="auto"/>
              </w:rPr>
              <w:t>April 15, 2022</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March 16, 2022</w:t>
            </w:r>
          </w:p>
        </w:tc>
      </w:tr>
      <w:tr>
        <w:trPr>
          <w:trHeight w:val="162"/>
        </w:trPr>
        <w:tc>
          <w:tcPr>
            <w:tcW w:w="228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($500 million)</w:t>
            </w:r>
          </w:p>
        </w:tc>
        <w:tc>
          <w:tcPr>
            <w:tcW w:w="1040" w:type="dxa"/>
            <w:vAlign w:val="bottom"/>
            <w:gridSpan w:val="2"/>
          </w:tcPr>
          <w:p>
            <w:pPr>
              <w:spacing w:after="0" w:line="162" w:lineRule="exact"/>
              <w:rPr>
                <w:sz w:val="20"/>
                <w:szCs w:val="20"/>
                <w:color w:val="auto"/>
              </w:rPr>
            </w:pPr>
            <w:r>
              <w:rPr>
                <w:rFonts w:ascii="Arial" w:cs="Arial" w:eastAsia="Arial" w:hAnsi="Arial"/>
                <w:sz w:val="15"/>
                <w:szCs w:val="15"/>
                <w:color w:val="auto"/>
              </w:rPr>
              <w:t>October 15</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April 28, 2017</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($500 million)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6.000%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1,300,000,000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September 4, 2014</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1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March 1, 2023</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0"/>
              </w:rPr>
              <w:t>September 1, 2018</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September 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6.000%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2024</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1, 2016</w:t>
            </w:r>
          </w:p>
        </w:tc>
        <w:tc>
          <w:tcPr>
            <w:tcW w:w="1040" w:type="dxa"/>
            <w:vAlign w:val="bottom"/>
            <w:gridSpan w:val="2"/>
          </w:tcPr>
          <w:p>
            <w:pPr>
              <w:spacing w:after="0"/>
              <w:rPr>
                <w:sz w:val="20"/>
                <w:szCs w:val="20"/>
                <w:color w:val="auto"/>
              </w:rPr>
            </w:pPr>
            <w:r>
              <w:rPr>
                <w:rFonts w:ascii="Arial" w:cs="Arial" w:eastAsia="Arial" w:hAnsi="Arial"/>
                <w:sz w:val="15"/>
                <w:szCs w:val="15"/>
                <w:color w:val="auto"/>
              </w:rPr>
              <w:t>April 15 and</w:t>
            </w:r>
          </w:p>
        </w:tc>
        <w:tc>
          <w:tcPr>
            <w:tcW w:w="1080" w:type="dxa"/>
            <w:vAlign w:val="bottom"/>
          </w:tcPr>
          <w:p>
            <w:pPr>
              <w:spacing w:after="0"/>
              <w:rPr>
                <w:sz w:val="20"/>
                <w:szCs w:val="20"/>
                <w:color w:val="auto"/>
              </w:rPr>
            </w:pPr>
            <w:r>
              <w:rPr>
                <w:rFonts w:ascii="Arial" w:cs="Arial" w:eastAsia="Arial" w:hAnsi="Arial"/>
                <w:sz w:val="15"/>
                <w:szCs w:val="15"/>
                <w:color w:val="auto"/>
              </w:rPr>
              <w:t>April 15, 2024</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April 15, 2019</w:t>
            </w: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uto"/>
              </w:rPr>
              <w:t>October 15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5.125%</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16, 2017</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15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April 15, 2025</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April 15, 2020</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October 15</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6.500%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2026</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2,000,000,000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November 5, 2015</w:t>
            </w:r>
          </w:p>
        </w:tc>
        <w:tc>
          <w:tcPr>
            <w:tcW w:w="1040" w:type="dxa"/>
            <w:vAlign w:val="bottom"/>
            <w:gridSpan w:val="2"/>
          </w:tcPr>
          <w:p>
            <w:pPr>
              <w:spacing w:after="0"/>
              <w:rPr>
                <w:sz w:val="20"/>
                <w:szCs w:val="20"/>
                <w:color w:val="auto"/>
              </w:rPr>
            </w:pPr>
            <w:r>
              <w:rPr>
                <w:rFonts w:ascii="Arial" w:cs="Arial" w:eastAsia="Arial" w:hAnsi="Arial"/>
                <w:sz w:val="15"/>
                <w:szCs w:val="15"/>
                <w:color w:val="auto"/>
                <w:w w:val="98"/>
              </w:rPr>
              <w:t>January 15 and</w:t>
            </w:r>
          </w:p>
        </w:tc>
        <w:tc>
          <w:tcPr>
            <w:tcW w:w="1080" w:type="dxa"/>
            <w:vAlign w:val="bottom"/>
          </w:tcPr>
          <w:p>
            <w:pPr>
              <w:spacing w:after="0"/>
              <w:rPr>
                <w:sz w:val="20"/>
                <w:szCs w:val="20"/>
                <w:color w:val="auto"/>
              </w:rPr>
            </w:pPr>
            <w:r>
              <w:rPr>
                <w:rFonts w:ascii="Arial" w:cs="Arial" w:eastAsia="Arial" w:hAnsi="Arial"/>
                <w:sz w:val="15"/>
                <w:szCs w:val="15"/>
                <w:color w:val="auto"/>
                <w:w w:val="91"/>
              </w:rPr>
              <w:t>January 15, 2026</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January 15, 2021</w:t>
            </w: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uto"/>
              </w:rPr>
              <w:t>July 15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4.500%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January 25, 2018</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1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2"/>
              </w:rPr>
              <w:t>February 1, 2026</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February 1, 2021</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August 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4.500%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2026-1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1,000,000,000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30, 2018</w:t>
            </w:r>
          </w:p>
        </w:tc>
        <w:tc>
          <w:tcPr>
            <w:tcW w:w="1040" w:type="dxa"/>
            <w:vAlign w:val="bottom"/>
            <w:gridSpan w:val="2"/>
          </w:tcPr>
          <w:p>
            <w:pPr>
              <w:spacing w:after="0"/>
              <w:rPr>
                <w:sz w:val="20"/>
                <w:szCs w:val="20"/>
                <w:color w:val="auto"/>
              </w:rPr>
            </w:pPr>
            <w:r>
              <w:rPr>
                <w:rFonts w:ascii="Arial" w:cs="Arial" w:eastAsia="Arial" w:hAnsi="Arial"/>
                <w:sz w:val="15"/>
                <w:szCs w:val="15"/>
                <w:color w:val="auto"/>
              </w:rPr>
              <w:t>February 1 and</w:t>
            </w:r>
          </w:p>
        </w:tc>
        <w:tc>
          <w:tcPr>
            <w:tcW w:w="1080" w:type="dxa"/>
            <w:vAlign w:val="bottom"/>
          </w:tcPr>
          <w:p>
            <w:pPr>
              <w:spacing w:after="0"/>
              <w:rPr>
                <w:sz w:val="20"/>
                <w:szCs w:val="20"/>
                <w:color w:val="auto"/>
              </w:rPr>
            </w:pPr>
            <w:r>
              <w:rPr>
                <w:rFonts w:ascii="Arial" w:cs="Arial" w:eastAsia="Arial" w:hAnsi="Arial"/>
                <w:sz w:val="15"/>
                <w:szCs w:val="15"/>
                <w:color w:val="auto"/>
                <w:w w:val="92"/>
              </w:rPr>
              <w:t>February 1, 2026</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February 1, 2021</w:t>
            </w:r>
          </w:p>
        </w:tc>
      </w:tr>
      <w:tr>
        <w:trPr>
          <w:trHeight w:val="194"/>
        </w:trPr>
        <w:tc>
          <w:tcPr>
            <w:tcW w:w="2280" w:type="dxa"/>
            <w:vAlign w:val="bottom"/>
            <w:gridSpan w:val="3"/>
          </w:tcPr>
          <w:p>
            <w:pPr>
              <w:ind w:left="140"/>
              <w:spacing w:after="0"/>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5"/>
                <w:szCs w:val="15"/>
                <w:color w:val="auto"/>
              </w:rPr>
              <w:t>August 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5.375%</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500,000,000</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16, 2017</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15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April 15, 2027</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April 15, 2022</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October 15</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5"/>
                <w:szCs w:val="15"/>
                <w:color w:val="auto"/>
                <w:w w:val="94"/>
              </w:rPr>
              <w:t>5.375%</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2027-1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1,250,000,000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28, 2017</w:t>
            </w:r>
          </w:p>
        </w:tc>
        <w:tc>
          <w:tcPr>
            <w:tcW w:w="1040" w:type="dxa"/>
            <w:vAlign w:val="bottom"/>
            <w:gridSpan w:val="2"/>
          </w:tcPr>
          <w:p>
            <w:pPr>
              <w:spacing w:after="0"/>
              <w:rPr>
                <w:sz w:val="20"/>
                <w:szCs w:val="20"/>
                <w:color w:val="auto"/>
              </w:rPr>
            </w:pPr>
            <w:r>
              <w:rPr>
                <w:rFonts w:ascii="Arial" w:cs="Arial" w:eastAsia="Arial" w:hAnsi="Arial"/>
                <w:sz w:val="15"/>
                <w:szCs w:val="15"/>
                <w:color w:val="auto"/>
              </w:rPr>
              <w:t>April 15 and</w:t>
            </w:r>
          </w:p>
        </w:tc>
        <w:tc>
          <w:tcPr>
            <w:tcW w:w="1080" w:type="dxa"/>
            <w:vAlign w:val="bottom"/>
          </w:tcPr>
          <w:p>
            <w:pPr>
              <w:spacing w:after="0" w:line="202" w:lineRule="exact"/>
              <w:rPr>
                <w:sz w:val="20"/>
                <w:szCs w:val="20"/>
                <w:color w:val="auto"/>
              </w:rPr>
            </w:pPr>
            <w:r>
              <w:rPr>
                <w:rFonts w:ascii="Arial" w:cs="Arial" w:eastAsia="Arial" w:hAnsi="Arial"/>
                <w:sz w:val="14"/>
                <w:szCs w:val="14"/>
                <w:color w:val="auto"/>
              </w:rPr>
              <w:t>April 15, 2022</w:t>
            </w:r>
            <w:r>
              <w:rPr>
                <w:rFonts w:ascii="Arial" w:cs="Arial" w:eastAsia="Arial" w:hAnsi="Arial"/>
                <w:sz w:val="23"/>
                <w:szCs w:val="23"/>
                <w:color w:val="auto"/>
                <w:vertAlign w:val="superscript"/>
              </w:rPr>
              <w:t>(2)</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April 15, 2022</w:t>
            </w:r>
          </w:p>
        </w:tc>
      </w:tr>
      <w:tr>
        <w:trPr>
          <w:trHeight w:val="162"/>
        </w:trPr>
        <w:tc>
          <w:tcPr>
            <w:tcW w:w="228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rPr>
              <w:t>($750 million)</w:t>
            </w:r>
          </w:p>
        </w:tc>
        <w:tc>
          <w:tcPr>
            <w:tcW w:w="1040" w:type="dxa"/>
            <w:vAlign w:val="bottom"/>
            <w:gridSpan w:val="2"/>
          </w:tcPr>
          <w:p>
            <w:pPr>
              <w:spacing w:after="0" w:line="162" w:lineRule="exact"/>
              <w:rPr>
                <w:sz w:val="20"/>
                <w:szCs w:val="20"/>
                <w:color w:val="auto"/>
              </w:rPr>
            </w:pPr>
            <w:r>
              <w:rPr>
                <w:rFonts w:ascii="Arial" w:cs="Arial" w:eastAsia="Arial" w:hAnsi="Arial"/>
                <w:sz w:val="15"/>
                <w:szCs w:val="15"/>
                <w:color w:val="auto"/>
              </w:rPr>
              <w:t>October 15</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40"/>
              <w:spacing w:after="0" w:line="162" w:lineRule="exact"/>
              <w:rPr>
                <w:sz w:val="20"/>
                <w:szCs w:val="20"/>
                <w:color w:val="auto"/>
              </w:rPr>
            </w:pPr>
            <w:r>
              <w:rPr>
                <w:rFonts w:ascii="Arial" w:cs="Arial" w:eastAsia="Arial" w:hAnsi="Arial"/>
                <w:sz w:val="15"/>
                <w:szCs w:val="15"/>
                <w:color w:val="auto"/>
                <w:w w:val="98"/>
              </w:rPr>
              <w:t>September 18, 2017</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4"/>
        </w:trPr>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($500 million)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5"/>
        </w:trPr>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500" w:type="dxa"/>
            <w:vAlign w:val="bottom"/>
            <w:shd w:val="clear" w:color="auto" w:fill="CCEEFF"/>
          </w:tcPr>
          <w:p>
            <w:pPr>
              <w:spacing w:after="0"/>
              <w:rPr>
                <w:sz w:val="20"/>
                <w:szCs w:val="20"/>
                <w:color w:val="auto"/>
              </w:rPr>
            </w:pPr>
            <w:r>
              <w:rPr>
                <w:rFonts w:ascii="Arial" w:cs="Arial" w:eastAsia="Arial" w:hAnsi="Arial"/>
                <w:sz w:val="15"/>
                <w:szCs w:val="15"/>
                <w:color w:val="auto"/>
                <w:w w:val="94"/>
              </w:rPr>
              <w:t>4.750%</w:t>
            </w:r>
          </w:p>
        </w:tc>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Notes due 2028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1,500,000,000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January 25, 2018</w:t>
            </w:r>
          </w:p>
        </w:tc>
        <w:tc>
          <w:tcPr>
            <w:tcW w:w="1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1 and</w:t>
            </w: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2"/>
              </w:rPr>
              <w:t>February 1, 2028</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February 1, 2023</w:t>
            </w:r>
          </w:p>
        </w:tc>
      </w:tr>
      <w:tr>
        <w:trPr>
          <w:trHeight w:val="209"/>
        </w:trPr>
        <w:tc>
          <w:tcPr>
            <w:tcW w:w="5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August 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5"/>
                <w:szCs w:val="15"/>
                <w:color w:val="auto"/>
                <w:w w:val="94"/>
              </w:rPr>
              <w:t>4.750%</w:t>
            </w:r>
          </w:p>
        </w:tc>
        <w:tc>
          <w:tcPr>
            <w:tcW w:w="1780" w:type="dxa"/>
            <w:vAlign w:val="bottom"/>
            <w:gridSpan w:val="2"/>
          </w:tcPr>
          <w:p>
            <w:pPr>
              <w:spacing w:after="0"/>
              <w:rPr>
                <w:sz w:val="20"/>
                <w:szCs w:val="20"/>
                <w:color w:val="auto"/>
              </w:rPr>
            </w:pPr>
            <w:r>
              <w:rPr>
                <w:rFonts w:ascii="Arial" w:cs="Arial" w:eastAsia="Arial" w:hAnsi="Arial"/>
                <w:sz w:val="15"/>
                <w:szCs w:val="15"/>
                <w:color w:val="auto"/>
              </w:rPr>
              <w:t>Senior Notes due 2028-1</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1,500,000,000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140"/>
              <w:spacing w:after="0"/>
              <w:rPr>
                <w:sz w:val="20"/>
                <w:szCs w:val="20"/>
                <w:color w:val="auto"/>
              </w:rPr>
            </w:pPr>
            <w:r>
              <w:rPr>
                <w:rFonts w:ascii="Arial" w:cs="Arial" w:eastAsia="Arial" w:hAnsi="Arial"/>
                <w:sz w:val="15"/>
                <w:szCs w:val="15"/>
                <w:color w:val="auto"/>
              </w:rPr>
              <w:t>April 30, 2018</w:t>
            </w:r>
          </w:p>
        </w:tc>
        <w:tc>
          <w:tcPr>
            <w:tcW w:w="1040" w:type="dxa"/>
            <w:vAlign w:val="bottom"/>
            <w:gridSpan w:val="2"/>
          </w:tcPr>
          <w:p>
            <w:pPr>
              <w:spacing w:after="0"/>
              <w:rPr>
                <w:sz w:val="20"/>
                <w:szCs w:val="20"/>
                <w:color w:val="auto"/>
              </w:rPr>
            </w:pPr>
            <w:r>
              <w:rPr>
                <w:rFonts w:ascii="Arial" w:cs="Arial" w:eastAsia="Arial" w:hAnsi="Arial"/>
                <w:sz w:val="15"/>
                <w:szCs w:val="15"/>
                <w:color w:val="auto"/>
              </w:rPr>
              <w:t>February 1 and</w:t>
            </w:r>
          </w:p>
        </w:tc>
        <w:tc>
          <w:tcPr>
            <w:tcW w:w="1080" w:type="dxa"/>
            <w:vAlign w:val="bottom"/>
          </w:tcPr>
          <w:p>
            <w:pPr>
              <w:spacing w:after="0"/>
              <w:rPr>
                <w:sz w:val="20"/>
                <w:szCs w:val="20"/>
                <w:color w:val="auto"/>
              </w:rPr>
            </w:pPr>
            <w:r>
              <w:rPr>
                <w:rFonts w:ascii="Arial" w:cs="Arial" w:eastAsia="Arial" w:hAnsi="Arial"/>
                <w:sz w:val="15"/>
                <w:szCs w:val="15"/>
                <w:color w:val="auto"/>
                <w:w w:val="92"/>
              </w:rPr>
              <w:t>February 1, 2028</w:t>
            </w: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February 1, 2023</w:t>
            </w:r>
          </w:p>
        </w:tc>
      </w:tr>
      <w:tr>
        <w:trPr>
          <w:trHeight w:val="168"/>
        </w:trPr>
        <w:tc>
          <w:tcPr>
            <w:tcW w:w="2280" w:type="dxa"/>
            <w:vAlign w:val="bottom"/>
            <w:gridSpan w:val="3"/>
          </w:tcPr>
          <w:p>
            <w:pPr>
              <w:ind w:left="140"/>
              <w:spacing w:after="0" w:line="168" w:lineRule="exact"/>
              <w:rPr>
                <w:sz w:val="20"/>
                <w:szCs w:val="20"/>
                <w:color w:val="auto"/>
              </w:rPr>
            </w:pPr>
            <w:r>
              <w:rPr>
                <w:rFonts w:ascii="Arial" w:cs="Arial" w:eastAsia="Arial" w:hAnsi="Arial"/>
                <w:sz w:val="15"/>
                <w:szCs w:val="15"/>
                <w:color w:val="auto"/>
              </w:rPr>
              <w:t>held by Deutsche Telekom</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Arial" w:cs="Arial" w:eastAsia="Arial" w:hAnsi="Arial"/>
                <w:sz w:val="15"/>
                <w:szCs w:val="15"/>
                <w:color w:val="auto"/>
              </w:rPr>
              <w:t>August 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8"/>
        </w:trPr>
        <w:tc>
          <w:tcPr>
            <w:tcW w:w="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9"/>
              </w:rPr>
              <w:t>TOTAL</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13,050,000,000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-3908425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-3908425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-3908425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-3908425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-3908425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ind w:left="640" w:right="339" w:hanging="348"/>
        <w:spacing w:after="0" w:line="243"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Does not include (a) $1,000,000,000 in aggregate principal amount of 2.250% Senior Notes due 2026 (the “New 2026 Notes”) issued on January 14, 2021, bearing interest payable on February 15 and August 15 and maturing on February 15, 2026, (b) $1,000,000,000 in aggregate principal amount of 2.625% Senior Notes due 2029 (the “New 2029 Notes”) issued on January 14, 2021, bearing interest payable on February 15 and August 15 and maturing on February 15, 2029 and (c) $1,000,000,000 in aggregate principal amount of 2.875% Senior Notes due 2031 (the “New 2031 Notes”) issued on January 14, 2021, bearing interest payable on February 15 and August 15 and maturing on February 15, 2031. T-Mobile USA may, at its option, redeem some or all of the New 2026 Notes, the New 2029 Notes or the New 2031 Notes at any time on or after February 15, 2023, February 15, 2024 or February 15, 2026, respectively, at the redemption price set forth in the governing indenture, or prior to such dates at a specified “make-whole” redemption price plus accrued and unpaid interest to, but not including, the redemption date. In addition, prior to February 15, 2023, February 15, 2024 or February 15, 2026, T-Mobile USA may also redeem up to 40% of the aggregate principal amount of the New 2026 Notes, New 2029 Notes or New 2031 Notes, respectively, at the redemption prices set forth in the governing indenture, with the net cash proceeds of certain sales of equity securities, including the sale of Parent’s common stock.</w:t>
      </w:r>
    </w:p>
    <w:p>
      <w:pPr>
        <w:spacing w:after="0" w:line="19" w:lineRule="exact"/>
        <w:rPr>
          <w:rFonts w:ascii="Arial" w:cs="Arial" w:eastAsia="Arial" w:hAnsi="Arial"/>
          <w:sz w:val="13"/>
          <w:szCs w:val="13"/>
          <w:color w:val="auto"/>
        </w:rPr>
      </w:pPr>
    </w:p>
    <w:p>
      <w:pPr>
        <w:ind w:left="640" w:right="61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Gives effect to the amended maturity date specified in the Financing Matters Agreement, dated as of April 29, 2018 between T-Mobile USA and Deutsche Telekom.</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Each series of Existing T-Mobile Unsecured Notes was issued pursuant to an indenture (the “Existing T-Mobile Unsecured Notes Indenture”), dated as of April 28, 2013, among T-Mobile USA, Parent, the other guarantors party thereto, and Deutsche Bank Trust Company Americas, as trustee. The Existing T-Mobile Unsecured Notes Indenture, as amended and supplemented with respect to the Existing T-Mobile Unsecured Notes, contains covenants and other terms, including covenants that, among other things, restrict the ability of T-Mobile USA and its restricted subsidiaries to incur more debt, pay dividends and make distributions, make certain investments, repurchase stock, create liens or other encumbrances, enter into transactions with affiliates, enter into agreements that restrict dividends or distributions from subsidiaries, and merge, consolidate or sell, or otherwise dispose of, substantially all of their assets. The Existing T-Mobile Unsecured Notes Indenture, as so amended and supplemented, also contains customary events of default. These covenants and events of default are subject to a number of important qualifications and exceptions including certain customary baskets, exceptions and incurrence-based ratio tests.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Secured Notes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T-Mobile USA’s senior secured notes set forth in the table below (collectively, the “Existing T-Mobile Secured Notes”) are currently outstanding. The Existing T-Mobile Secured Notes were issued in offerings exempt from registration under the Securities Act of 1933, as amended (the “Securities Act”) and have the benefit of registration rights. The Existing T-Mobile Secured Notes will also be subject to optional redemption and will require the Issuer to offer to repurchase the Existing T-Mobile Secured Notes if T-Mobile US or the Issuer experiences certain change of control triggering events.</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Principal</w:t>
            </w:r>
          </w:p>
        </w:tc>
        <w:tc>
          <w:tcPr>
            <w:tcW w:w="20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Interest Payment</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Amount as of</w:t>
            </w:r>
          </w:p>
        </w:tc>
        <w:tc>
          <w:tcPr>
            <w:tcW w:w="2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2020</w:t>
            </w:r>
          </w:p>
        </w:tc>
        <w:tc>
          <w:tcPr>
            <w:tcW w:w="2020" w:type="dxa"/>
            <w:vAlign w:val="bottom"/>
          </w:tcPr>
          <w:p>
            <w:pPr>
              <w:ind w:left="840"/>
              <w:spacing w:after="0"/>
              <w:rPr>
                <w:sz w:val="20"/>
                <w:szCs w:val="20"/>
                <w:color w:val="auto"/>
              </w:rPr>
            </w:pPr>
            <w:r>
              <w:rPr>
                <w:rFonts w:ascii="Arial" w:cs="Arial" w:eastAsia="Arial" w:hAnsi="Arial"/>
                <w:sz w:val="14"/>
                <w:szCs w:val="14"/>
                <w:b w:val="1"/>
                <w:bCs w:val="1"/>
                <w:color w:val="auto"/>
              </w:rPr>
              <w:t>Dates</w:t>
            </w:r>
          </w:p>
        </w:tc>
        <w:tc>
          <w:tcPr>
            <w:tcW w:w="1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3.500% Senior Secured Notes due 2025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3,000,000,000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April 15, 2025</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1.500% Senior Secured Notes due 2026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9"/>
              </w:rPr>
              <w:t>February 15, 2026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3.750% Senior Secured Notes due 2027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4,000,000,000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April 15, 2027</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2.050% Senior Secured Notes due 2028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1,750,000,000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9"/>
              </w:rPr>
              <w:t>February 15, 2028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3.875% Senior Secured Notes due 2030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7,000,000,000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April 15, 2030</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2.550% Senior Secured Notes due 2031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2,500,000,000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9"/>
              </w:rPr>
              <w:t>February 15, 2031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2.250% Senior Secured Notes due 2031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1,000,000,000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May 15 and November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November 15, 2031</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4.375% Senior Secured Notes due 2040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April 15, 2040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3.000% Senior Secured Notes due 2041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2,500,000,000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February 15, 2041</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4.500% Senior Secured Notes due 2050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3,000,000,000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April 15 and October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April 15, 2050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3.300% Senior Secured Notes due 2051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3,000,000,000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February 15 and August 15</w:t>
            </w: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February 15, 2051</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3.600% Senior Secured Notes due 2060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1,000,000,000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6"/>
              </w:rPr>
              <w:t>May 15 and November 15</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2"/>
              </w:rPr>
              <w:t>November 15, 2060</w:t>
            </w: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31,750,000,000</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-2708275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-2708275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-2708275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Unsecured Notes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The Sprint Capital Corporation, Sprint Communications, Inc. and Sprint notes set forth in the table below (collectively, the “Existing Sprint Unsecured Notes”) are currently outstanding. The Existing Sprint Unsecured Notes are the applicable issuer’s unsecured obligations and are guaranteed on a senior unsecured basis (i) by Parent, T-Mobile USA and Sprint Communications, Inc., in the case of notes issued by Sprint, (ii) by Parent, T-Mobile USA and Sprint in the case of notes issued by Sprint Communications, Inc. and (iii) by Parent, T-Mobile USA, Sprint and Sprint Communications, Inc. in the case of notes issued by Sprint Capital Corporation. The issuer may, at its option, redeem some or all of the Existing Sprint Unsecured Notes at any time at a specified “make-whole” redemption price plus accrued and unpaid interest to, but not including, the redemption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tbl>
      <w:tblPr>
        <w:tblLayout w:type="fixed"/>
        <w:tblInd w:w="300" w:type="dxa"/>
        <w:tblCellMar>
          <w:top w:w="0" w:type="dxa"/>
          <w:left w:w="0" w:type="dxa"/>
          <w:bottom w:w="0" w:type="dxa"/>
          <w:right w:w="0" w:type="dxa"/>
        </w:tblCellMar>
      </w:tblPr>
      <w:tr>
        <w:trPr>
          <w:trHeight w:val="186"/>
        </w:trPr>
        <w:tc>
          <w:tcPr>
            <w:tcW w:w="2700" w:type="dxa"/>
            <w:vAlign w:val="bottom"/>
            <w:gridSpan w:val="5"/>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Principal</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Interest Payment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Amount as of</w:t>
            </w:r>
          </w:p>
        </w:tc>
        <w:tc>
          <w:tcPr>
            <w:tcW w:w="17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270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2020</w:t>
            </w:r>
          </w:p>
        </w:tc>
        <w:tc>
          <w:tcPr>
            <w:tcW w:w="1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Dates</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Sprint Capital Corporation notes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6.875% senior notes due 2028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2,475,000,000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November 16, 1998</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November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8.750% senior notes due 2032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2,000,000,000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line="255" w:lineRule="exact"/>
              <w:rPr>
                <w:sz w:val="20"/>
                <w:szCs w:val="20"/>
                <w:color w:val="auto"/>
              </w:rPr>
            </w:pPr>
            <w:r>
              <w:rPr>
                <w:rFonts w:ascii="Arial" w:cs="Arial" w:eastAsia="Arial" w:hAnsi="Arial"/>
                <w:sz w:val="18"/>
                <w:szCs w:val="18"/>
                <w:color w:val="auto"/>
              </w:rPr>
              <w:t>March 14, 2002</w:t>
            </w:r>
            <w:r>
              <w:rPr>
                <w:rFonts w:ascii="Arial" w:cs="Arial" w:eastAsia="Arial" w:hAnsi="Arial"/>
                <w:sz w:val="29"/>
                <w:szCs w:val="29"/>
                <w:color w:val="auto"/>
                <w:vertAlign w:val="superscript"/>
              </w:rPr>
              <w:t>(1)</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March 15 and</w:t>
            </w:r>
          </w:p>
        </w:tc>
        <w:tc>
          <w:tcPr>
            <w:tcW w:w="1220" w:type="dxa"/>
            <w:vAlign w:val="bottom"/>
          </w:tcPr>
          <w:p>
            <w:pPr>
              <w:spacing w:after="0"/>
              <w:rPr>
                <w:sz w:val="20"/>
                <w:szCs w:val="20"/>
                <w:color w:val="auto"/>
              </w:rPr>
            </w:pPr>
            <w:r>
              <w:rPr>
                <w:rFonts w:ascii="Arial" w:cs="Arial" w:eastAsia="Arial" w:hAnsi="Arial"/>
                <w:sz w:val="18"/>
                <w:szCs w:val="18"/>
                <w:color w:val="auto"/>
                <w:w w:val="95"/>
              </w:rPr>
              <w:t>March 15, 2032</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September 15</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Sprint Communications, Inc. notes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7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11.500% senior notes due 2021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1,000,000,000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rPr>
              <w:t>November 9, 2011</w:t>
            </w:r>
            <w:r>
              <w:rPr>
                <w:rFonts w:ascii="Arial" w:cs="Arial" w:eastAsia="Arial" w:hAnsi="Arial"/>
                <w:sz w:val="29"/>
                <w:szCs w:val="29"/>
                <w:color w:val="auto"/>
                <w:vertAlign w:val="superscript"/>
              </w:rPr>
              <w:t>(1)</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May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November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6.000% senior notes due 2022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2,280,000,000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November 14, 2012</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May 15 and</w:t>
            </w:r>
          </w:p>
        </w:tc>
        <w:tc>
          <w:tcPr>
            <w:tcW w:w="1220" w:type="dxa"/>
            <w:vAlign w:val="bottom"/>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November 15</w:t>
            </w:r>
          </w:p>
        </w:tc>
        <w:tc>
          <w:tcPr>
            <w:tcW w:w="1220" w:type="dxa"/>
            <w:vAlign w:val="bottom"/>
          </w:tcPr>
          <w:p>
            <w:pPr>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Sprint Corporation notes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7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7.250% senior notes due 2021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2,250,000,000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w w:val="92"/>
              </w:rPr>
              <w:t>September 11, 2013</w:t>
            </w:r>
            <w:r>
              <w:rPr>
                <w:rFonts w:ascii="Arial" w:cs="Arial" w:eastAsia="Arial" w:hAnsi="Arial"/>
                <w:sz w:val="29"/>
                <w:szCs w:val="29"/>
                <w:color w:val="auto"/>
                <w:w w:val="92"/>
                <w:vertAlign w:val="superscript"/>
              </w:rPr>
              <w:t>(1)</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September 15</w:t>
            </w: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7.875% senior notes due 2023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4,250,000,000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line="255" w:lineRule="exact"/>
              <w:rPr>
                <w:sz w:val="20"/>
                <w:szCs w:val="20"/>
                <w:color w:val="auto"/>
              </w:rPr>
            </w:pPr>
            <w:r>
              <w:rPr>
                <w:rFonts w:ascii="Arial" w:cs="Arial" w:eastAsia="Arial" w:hAnsi="Arial"/>
                <w:sz w:val="18"/>
                <w:szCs w:val="18"/>
                <w:color w:val="auto"/>
                <w:w w:val="92"/>
              </w:rPr>
              <w:t>September 11, 2013</w:t>
            </w:r>
            <w:r>
              <w:rPr>
                <w:rFonts w:ascii="Arial" w:cs="Arial" w:eastAsia="Arial" w:hAnsi="Arial"/>
                <w:sz w:val="29"/>
                <w:szCs w:val="29"/>
                <w:color w:val="auto"/>
                <w:w w:val="92"/>
                <w:vertAlign w:val="superscript"/>
              </w:rPr>
              <w:t>(1)</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March 15 and</w:t>
            </w:r>
          </w:p>
        </w:tc>
        <w:tc>
          <w:tcPr>
            <w:tcW w:w="1220" w:type="dxa"/>
            <w:vAlign w:val="bottom"/>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September 15</w:t>
            </w:r>
          </w:p>
        </w:tc>
        <w:tc>
          <w:tcPr>
            <w:tcW w:w="1220" w:type="dxa"/>
            <w:vAlign w:val="bottom"/>
          </w:tcPr>
          <w:p>
            <w:pPr>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7.125% senior notes due 2024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2,500,000,000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w w:val="94"/>
              </w:rPr>
              <w:t>December 12, 2013</w:t>
            </w:r>
            <w:r>
              <w:rPr>
                <w:rFonts w:ascii="Arial" w:cs="Arial" w:eastAsia="Arial" w:hAnsi="Arial"/>
                <w:sz w:val="29"/>
                <w:szCs w:val="29"/>
                <w:color w:val="auto"/>
                <w:w w:val="94"/>
                <w:vertAlign w:val="superscript"/>
              </w:rPr>
              <w:t>(1)</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June 15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June 15, 2024</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December 15</w:t>
            </w: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5"/>
          </w:tcPr>
          <w:p>
            <w:pPr>
              <w:spacing w:after="0"/>
              <w:rPr>
                <w:sz w:val="20"/>
                <w:szCs w:val="20"/>
                <w:color w:val="auto"/>
              </w:rPr>
            </w:pPr>
            <w:r>
              <w:rPr>
                <w:rFonts w:ascii="Arial" w:cs="Arial" w:eastAsia="Arial" w:hAnsi="Arial"/>
                <w:sz w:val="18"/>
                <w:szCs w:val="18"/>
                <w:color w:val="auto"/>
              </w:rPr>
              <w:t>7.625% senior notes due 2025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88"/>
              </w:rPr>
              <w:t>1,500,000,000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February 24, 2015</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5"/>
              </w:rPr>
              <w:t>February 15 and</w:t>
            </w:r>
          </w:p>
        </w:tc>
        <w:tc>
          <w:tcPr>
            <w:tcW w:w="1220" w:type="dxa"/>
            <w:vAlign w:val="bottom"/>
          </w:tcPr>
          <w:p>
            <w:pPr>
              <w:spacing w:after="0"/>
              <w:rPr>
                <w:sz w:val="20"/>
                <w:szCs w:val="20"/>
                <w:color w:val="auto"/>
              </w:rPr>
            </w:pPr>
            <w:r>
              <w:rPr>
                <w:rFonts w:ascii="Arial" w:cs="Arial" w:eastAsia="Arial" w:hAnsi="Arial"/>
                <w:sz w:val="18"/>
                <w:szCs w:val="18"/>
                <w:color w:val="auto"/>
              </w:rPr>
              <w:t>February 15,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August 15</w:t>
            </w:r>
          </w:p>
        </w:tc>
        <w:tc>
          <w:tcPr>
            <w:tcW w:w="1220" w:type="dxa"/>
            <w:vAlign w:val="bottom"/>
          </w:tcPr>
          <w:p>
            <w:pPr>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7.625% senior notes due 2026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1,500,000,000</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February 22, 2018</w:t>
            </w: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 and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March 1, 2026</w:t>
            </w:r>
          </w:p>
        </w:tc>
        <w:tc>
          <w:tcPr>
            <w:tcW w:w="0" w:type="dxa"/>
            <w:vAlign w:val="bottom"/>
          </w:tcPr>
          <w:p>
            <w:pPr>
              <w:spacing w:after="0"/>
              <w:rPr>
                <w:sz w:val="1"/>
                <w:szCs w:val="1"/>
                <w:color w:val="auto"/>
              </w:rPr>
            </w:pPr>
          </w:p>
        </w:tc>
      </w:tr>
      <w:tr>
        <w:trPr>
          <w:trHeight w:val="243"/>
        </w:trPr>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September 1</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gridSpan w:val="5"/>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gridSpan w:val="4"/>
          </w:tcPr>
          <w:p>
            <w:pPr>
              <w:ind w:lef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19,755,000,000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-4551045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-4551045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-4551045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-4551045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right="519" w:hanging="348"/>
        <w:spacing w:after="0" w:line="238"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Refers to date of original issuance pursuant to an exemption from registration; registered notes having terms substantially identical in all material respects to the original notes, except that the exchange notes do not contain terms with respect to additional interest or transfer restrictions, were offered subsequently in an exchange offer.</w:t>
      </w:r>
    </w:p>
    <w:p>
      <w:pPr>
        <w:spacing w:after="0" w:line="79"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The 6.875% senior notes due 2028 and the 8.750% senior notes due 2032 were issued pursuant to an indenture, dated as of October 1, 1998 (the “1998 Sprint Indenture”), among Sprint Capital Corporation, Sprint and Bank of New York Mellon Trust Company, N.A., as successor to Bank One, N.A., as trustee. The 11.500% senior notes due 2021 and the 6.000% senior notes due 2022 were issued pursuant to an indenture, dated as of November 20, 2006 (the “2006 Sprint Indenture”), among Sprint Nextel Corporation and The Bank of New York Mellon Trust Company, N.A., as successor to The Bank of New York Trust Company, N.A., as trustee. The 7.250% senior notes due 2021, the 7.875% senior notes due 2023, the 7.125% senior notes due 2024, the 7.625% senior notes due 2025 and the 7.625% senior notes due 2026 were issued pursuant to an indenture, dated as of September 11, 2013 (the “2013 Sprint Indenture” and collectively with the 1998 Sprint Indenture and the 2006 Sprint Indenture, the “Existing Sprint Indentures”), among Sprint and The Bank of New York Mellon Trust Company, N.A., as trustee.</w:t>
      </w:r>
    </w:p>
    <w:p>
      <w:pPr>
        <w:spacing w:after="0" w:line="60"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The Existing Sprint Indentures, as amended and supplemented with respect to the Existing Sprint Unsecured Notes, contain covenants and other terms, including covenants that, among other things, restrict the ability of Sprint and its restricted subsidiaries to create liens or other encumbrances, and merge, consolidate or sell, or otherwise dispose of, substantially all of their assets. The Existing Sprint Indentures, as so amended and supplemented, also contains customary events of default. These covenants and events of default are subject to a number of important qualifications and exceptions.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Spectrum Note Facility</w:t>
      </w:r>
    </w:p>
    <w:p>
      <w:pPr>
        <w:spacing w:after="0" w:line="121"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The notes set forth in the table below (the “Existing Sprint Spectrum-Backed Notes”) are currently outstanding under Sprint’s $7.0 billion securitization program (the “Sprint Spectrum Note Facility”) and were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issued through a group of bankruptcy-remote special purpose entities (the “Existing Sprint Spectrum Note Entities”) formed for such transaction, each of which are wholly-owned by T-Mobile and non-guarantor “Restricted Subsidiaries” under the indentures governing the Notes and the Existing T-Mobile Secured Notes, the Existing T-Mobile Unsecured Notes and the Credit Agreement.</w:t>
      </w:r>
    </w:p>
    <w:p>
      <w:pPr>
        <w:spacing w:after="0" w:line="79"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Existing Sprint Spectrum-Backed Notes are secured primarily by a pool of 2.5 GHz and 1.9 GHz spectrum which has been pledged to secure indebtedness available under the Sprint Spectrum Note Facility (the “Sprint Spectrum Portfolio”).</w:t>
      </w:r>
    </w:p>
    <w:p>
      <w:pPr>
        <w:spacing w:after="0" w:line="76"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Additional credit enhancement includes a letter of credit supporting an 18-month interest and expense reserve and a pledge of the secured payment obligations under the Existing Sprint Spectrum Lease (as defined below).</w:t>
      </w:r>
    </w:p>
    <w:p>
      <w:pPr>
        <w:spacing w:after="0" w:line="16"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The Sprint Spectrum Note Facility currently allows for the incurrence of up to $7.0 billion of indebtedness. However, the size of the Sprint Spectrum Note Facility may be increased, subject to the applicable covenants and limitations in the documentation governing the Company’s indebtedness outstanding from time to time.</w:t>
      </w:r>
    </w:p>
    <w:p>
      <w:pPr>
        <w:spacing w:after="0" w:line="4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The Existing Sprint Spectrum-Backed Notes are initially paid with interest-only payments, followed by amortizing quarterly principal payments, over the periods specified in the table below. The issuers may optionally prepay the outstanding principal amount of all or any tranche of the Existing Sprint Spectrum-Backed Notes in whole on any business day or in part on any payment date, without any obligation to prepay the Existing Sprint Spectrum-Backed Notes of another series or tranche proportionately or otherwise, at a price equal to 100% of the aggregate principal amount of the Existing Sprint Spectrum-Backed Notes prepaid plus accrued and unpaid interest, if any, to the applicable prepayment date, plus, in the case of any such optional prepayment at any time before the date that is one year prior to the anticipated repayment date set forth in the table below, a specified “make-whole” prepayment premium.</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Payment</w:t>
            </w:r>
          </w:p>
        </w:tc>
        <w:tc>
          <w:tcPr>
            <w:tcW w:w="8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Interest-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Amortizing</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Tranche</w:t>
            </w:r>
          </w:p>
        </w:tc>
        <w:tc>
          <w:tcPr>
            <w:tcW w:w="20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Only</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86"/>
        </w:trPr>
        <w:tc>
          <w:tcPr>
            <w:tcW w:w="2460" w:type="dxa"/>
            <w:vAlign w:val="bottom"/>
            <w:gridSpan w:val="2"/>
            <w:vMerge w:val="continue"/>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Dates</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Payments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2016-1 3.360% Senior</w:t>
            </w:r>
          </w:p>
        </w:tc>
        <w:tc>
          <w:tcPr>
            <w:tcW w:w="1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3"/>
              </w:rPr>
              <w:t>$  656,250,000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March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September 20,</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 Notes, Class A-1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June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2016 through</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2"/>
              </w:rPr>
              <w:t>2017 through</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December 20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gridSpan w:val="2"/>
          </w:tcPr>
          <w:p>
            <w:pPr>
              <w:spacing w:after="0"/>
              <w:rPr>
                <w:sz w:val="20"/>
                <w:szCs w:val="20"/>
                <w:color w:val="auto"/>
              </w:rPr>
            </w:pPr>
            <w:r>
              <w:rPr>
                <w:rFonts w:ascii="Arial" w:cs="Arial" w:eastAsia="Arial" w:hAnsi="Arial"/>
                <w:sz w:val="18"/>
                <w:szCs w:val="18"/>
                <w:color w:val="auto"/>
              </w:rPr>
              <w:t>Series 2018-1 4.738% Senior</w:t>
            </w:r>
          </w:p>
        </w:tc>
        <w:tc>
          <w:tcPr>
            <w:tcW w:w="132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$2,100,000,000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March 20,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June 2018</w:t>
            </w:r>
          </w:p>
        </w:tc>
        <w:tc>
          <w:tcPr>
            <w:tcW w:w="1000" w:type="dxa"/>
            <w:vAlign w:val="bottom"/>
          </w:tcPr>
          <w:p>
            <w:pPr>
              <w:spacing w:after="0"/>
              <w:rPr>
                <w:sz w:val="20"/>
                <w:szCs w:val="20"/>
                <w:color w:val="auto"/>
              </w:rPr>
            </w:pPr>
            <w:r>
              <w:rPr>
                <w:rFonts w:ascii="Arial" w:cs="Arial" w:eastAsia="Arial" w:hAnsi="Arial"/>
                <w:sz w:val="18"/>
                <w:szCs w:val="18"/>
                <w:color w:val="auto"/>
              </w:rPr>
              <w:t>June 2021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Secured Notes, Class A-1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June 20,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through</w:t>
            </w:r>
          </w:p>
        </w:tc>
        <w:tc>
          <w:tcPr>
            <w:tcW w:w="1000" w:type="dxa"/>
            <w:vAlign w:val="bottom"/>
          </w:tcPr>
          <w:p>
            <w:pPr>
              <w:spacing w:after="0"/>
              <w:rPr>
                <w:sz w:val="20"/>
                <w:szCs w:val="20"/>
                <w:color w:val="auto"/>
              </w:rPr>
            </w:pPr>
            <w:r>
              <w:rPr>
                <w:rFonts w:ascii="Arial" w:cs="Arial" w:eastAsia="Arial" w:hAnsi="Arial"/>
                <w:sz w:val="18"/>
                <w:szCs w:val="18"/>
                <w:color w:val="auto"/>
              </w:rPr>
              <w:t>through</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88"/>
              </w:rPr>
              <w:t>September 20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March 2021</w:t>
            </w:r>
          </w:p>
        </w:tc>
        <w:tc>
          <w:tcPr>
            <w:tcW w:w="1000" w:type="dxa"/>
            <w:vAlign w:val="bottom"/>
          </w:tcPr>
          <w:p>
            <w:pPr>
              <w:spacing w:after="0"/>
              <w:rPr>
                <w:sz w:val="20"/>
                <w:szCs w:val="20"/>
                <w:color w:val="auto"/>
              </w:rPr>
            </w:pPr>
            <w:r>
              <w:rPr>
                <w:rFonts w:ascii="Arial" w:cs="Arial" w:eastAsia="Arial" w:hAnsi="Arial"/>
                <w:sz w:val="18"/>
                <w:szCs w:val="18"/>
                <w:color w:val="auto"/>
              </w:rPr>
              <w:t>March 2025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and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2"/>
              </w:rPr>
              <w:t>December 20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2018-1 5.152% Senior</w:t>
            </w:r>
          </w:p>
        </w:tc>
        <w:tc>
          <w:tcPr>
            <w:tcW w:w="13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1,837,500,000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March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June 2018</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June 2023</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195"/>
        </w:trPr>
        <w:tc>
          <w:tcPr>
            <w:tcW w:w="2460" w:type="dxa"/>
            <w:vAlign w:val="bottom"/>
            <w:tcBorders>
              <w:top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rPr>
              <w:t>Secured Notes, Class A-2</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June 20,</w:t>
            </w:r>
          </w:p>
        </w:tc>
        <w:tc>
          <w:tcPr>
            <w:tcW w:w="1180" w:type="dxa"/>
            <w:vAlign w:val="bottom"/>
            <w:tcBorders>
              <w:top w:val="single" w:sz="8" w:color="CCEEFF"/>
            </w:tcBorders>
            <w:gridSpan w:val="3"/>
            <w:shd w:val="clear" w:color="auto" w:fill="CCEEFF"/>
          </w:tcPr>
          <w:p>
            <w:pPr>
              <w:ind w:left="80"/>
              <w:spacing w:after="0" w:line="195" w:lineRule="exact"/>
              <w:rPr>
                <w:sz w:val="20"/>
                <w:szCs w:val="20"/>
                <w:color w:val="auto"/>
              </w:rPr>
            </w:pPr>
            <w:r>
              <w:rPr>
                <w:rFonts w:ascii="Arial" w:cs="Arial" w:eastAsia="Arial" w:hAnsi="Arial"/>
                <w:sz w:val="18"/>
                <w:szCs w:val="18"/>
                <w:color w:val="auto"/>
              </w:rPr>
              <w:t>through</w:t>
            </w:r>
          </w:p>
        </w:tc>
        <w:tc>
          <w:tcPr>
            <w:tcW w:w="1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through</w:t>
            </w:r>
          </w:p>
        </w:tc>
        <w:tc>
          <w:tcPr>
            <w:tcW w:w="1160" w:type="dxa"/>
            <w:vAlign w:val="bottom"/>
            <w:tcBorders>
              <w:top w:val="single" w:sz="8" w:color="CCEEFF"/>
            </w:tcBorders>
            <w:gridSpan w:val="2"/>
            <w:shd w:val="clear" w:color="auto" w:fill="CCEEFF"/>
          </w:tcPr>
          <w:p>
            <w:pPr>
              <w:ind w:left="80"/>
              <w:spacing w:after="0" w:line="195" w:lineRule="exact"/>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20</w:t>
            </w:r>
          </w:p>
        </w:tc>
        <w:tc>
          <w:tcPr>
            <w:tcW w:w="1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2023</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March 2028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20</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center"/>
              <w:ind w:left="114"/>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4,593,750,000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-2493645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-2493645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-2493645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-2493645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-2493645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Sprint Communications, Inc. leases the Sprint Spectrum Portfolio from the Existing Sprint Spectrum Note Entities and these lease payments are used to service the indebtedness under the Existing Sprint Spectrum-Backed Notes (the “Existing Sprint Spectrum Lease”). The payment obligations under the Existing Sprint Spectrum Lease, which has been pledged to the holders of the Existing Sprint Spectrum-Backed Notes as additional collateral, are secured by a shared first lien on the collateral that secures the Existing T-Mobile Secured Notes that is capped at $3.5 billion.</w:t>
      </w:r>
    </w:p>
    <w:p>
      <w:pPr>
        <w:spacing w:after="0" w:line="84"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Each Existing Sprint Spectrum Note Entity is a separate legal entity with its own separate creditors that would be entitled, prior to and upon the liquidation of the Existing Sprint Spectrum Note Entity, to be satisfied out of the Existing Sprint Spectrum Note Entity’s assets prior to any assets of the Existing Sprint Spectrum Note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Entity becoming available to its parent entities (including T-Mobile). Accordingly, the assets of the Existing Sprint Spectrum Note Entities would not be available to satisfy the debts and other obligations owed to other creditors of T-Mobile until the obligations of the Existing Sprint Spectrum Note Entities (including under the Existing Sprint Spectrum-Backed Notes) are paid in full.</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the Existing Sprint Spectrum Note Entities are wholly-owned subsidiaries of T-Mobile, these entities will be consolidated and all intercompany activity will be eliminated for accounting purposes.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On April 1, 2020 (the “Closing Date”), T-Mobile USA entered into a Credit Agreement (the “Credit Agreement”) by and among T-Mobile USA, as borrower, Deutsche Bank AG New York Branch, as administrative agent, and the lenders and other financial institutions party thereto, initially providing for a $4.0 billion secured term loan facility (the “Term Loan Facility”) and a $4.0 billion revolving credit facility (the “Revolving Credit Facility”). 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T-Mobile USA prepaid in full all $4.0 billion of borrowings outstanding, together with accrued and unpaid interest, under the Term Loan Facility.</w:t>
      </w:r>
    </w:p>
    <w:p>
      <w:pPr>
        <w:spacing w:after="0" w:line="57"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Commitments under the Revolving Credit Facility will mature on April 1, 2025, except as otherwise extended or replaced. T-Mobile USA may repay amounts borrowed and/or terminate the commitments under the Revolving Credit Facility (in whole or part) at any time without premium or penalty.</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rates of interest on amounts borrowed under the Revolving Credit Facility are based on, at T-Mobile USA’s option, either the London Inter Bank Offered Rate (“LIBOR”) (subject to a 0% LIBOR floor) plus a margin of</w:t>
      </w:r>
    </w:p>
    <w:p>
      <w:pPr>
        <w:ind w:left="300" w:right="339"/>
        <w:spacing w:after="0" w:line="287" w:lineRule="auto"/>
        <w:rPr>
          <w:sz w:val="20"/>
          <w:szCs w:val="20"/>
          <w:color w:val="auto"/>
        </w:rPr>
      </w:pPr>
      <w:r>
        <w:rPr>
          <w:rFonts w:ascii="Arial" w:cs="Arial" w:eastAsia="Arial" w:hAnsi="Arial"/>
          <w:sz w:val="16"/>
          <w:szCs w:val="16"/>
          <w:color w:val="auto"/>
        </w:rPr>
        <w:t>1.25% or an alternate base rate plus a margin of 0.25%, with the margins subject to reduction to 1.00% and 0.00%, respectively, if the Company’s Total First Lien Net Leverage Ratio (as defined in the Credit Agreement) is less than or equal to 0.75 to 1.00. The alternate base rate is the highest of (i) the prime rate of the administrative agent, (ii) the federal funds effective rate plus 0.50% and (iii) one-month adjusted LIBOR plus 1.00%. In the event that LIBOR becomes unascertainable, is no longer made available or a public announcement has been made that it will no longer be available or syndicated loans are being executed or amended to incorporate or adopt a new benchmark to replace LIBOR, then T-Mobile USA and the administrative agent are permitted to amend the Credit Agreement to replace LIBOR with an alternative benchmark rate.</w:t>
      </w:r>
    </w:p>
    <w:p>
      <w:pPr>
        <w:spacing w:after="0" w:line="62"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commitment fee for the Revolving Credit Facility is 0.375% per annum, subject to reduction to 0.25% if the Company’s Total First Lien Net Leverage Ratio is less than or equal to 0.75 to 1.00 and an increase to 0.50% if the Company’s Total First Lien Net Leverage Ratio is greater than 1.25 to 1.00, in each case determined on a Pro Forma Basis (as defined in the Credit Agreement) as of the last day of the most recently ended Test Period (as defined in the Credit Agreement).</w:t>
      </w:r>
    </w:p>
    <w:p>
      <w:pPr>
        <w:spacing w:after="0" w:line="8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T-Mobile USA’s obligations under the Credit Agreement are guaranteed by Parent and by all of T-Mobile USA’s wholly-owned domestic restricted subsidiaries (other than certain excluded subsidiaries, including certain designated special purpose finance vehicle entities, insurance subsidiaries and immaterial subsidiaries), all of Parent’s subsidiaries that guarantee certain of T-Mobile USA’s indebtedness, and any subsidiary of Parent that directly or indirectly owns any of T-Mobile USA’s equity interests. In addition, T-Mobile USA’s obligations under the Credit Agreement and the guarantee obligations of the guarantors are supported by a first priority pledge (subject to permitted liens under the Credit Agreement) in substantially all of the tangible and intangible personal property assets of T-Mobile USA and the guarantors (other than the unsecured guarantors), in each case subject to certain exceptions as set forth in the Credit Agreement, the Collateral Agreement, dated as of April 1, 2020, by and among T-Mobile USA, Parent and the other grantors party thereto in favor of Deutsche Bank Trust Company Americas, as collateral trustee, and related documentation.</w:t>
      </w:r>
    </w:p>
    <w:p>
      <w:pPr>
        <w:spacing w:after="0" w:line="74"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The Credit Agreement contains certain limitations on T-Mobile USA and its restricted subsidiaries with respect to dividends and other distributions, restrictions on investments, indebtedness and guarantees, sales of certain assets, affiliate transactions, liens, business activities and consolidations and mergers.</w:t>
      </w:r>
    </w:p>
    <w:p>
      <w:pPr>
        <w:spacing w:after="0" w:line="57" w:lineRule="exact"/>
        <w:rPr>
          <w:sz w:val="20"/>
          <w:szCs w:val="20"/>
          <w:color w:val="auto"/>
        </w:rPr>
      </w:pPr>
    </w:p>
    <w:p>
      <w:pPr>
        <w:jc w:val="both"/>
        <w:ind w:left="300" w:right="379" w:firstLine="360"/>
        <w:spacing w:after="0" w:line="286" w:lineRule="auto"/>
        <w:rPr>
          <w:sz w:val="20"/>
          <w:szCs w:val="20"/>
          <w:color w:val="auto"/>
        </w:rPr>
      </w:pPr>
      <w:r>
        <w:rPr>
          <w:rFonts w:ascii="Arial" w:cs="Arial" w:eastAsia="Arial" w:hAnsi="Arial"/>
          <w:sz w:val="17"/>
          <w:szCs w:val="17"/>
          <w:color w:val="auto"/>
        </w:rPr>
        <w:t>The Credit Agreement provides that T-Mobile USA has the right at any time to request incremental term loans or incremental revolving credit commitments (or incremental equivalent debt) up to the greater of the sum of (a) the greater of (x) $11.0 billion and (y) 50% of Consolidated Cash Flow (as defined in the Credit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84" w:lineRule="auto"/>
        <w:rPr>
          <w:sz w:val="20"/>
          <w:szCs w:val="20"/>
          <w:color w:val="auto"/>
        </w:rPr>
      </w:pPr>
      <w:r>
        <w:rPr>
          <w:rFonts w:ascii="Arial" w:cs="Arial" w:eastAsia="Arial" w:hAnsi="Arial"/>
          <w:sz w:val="16"/>
          <w:szCs w:val="16"/>
          <w:color w:val="auto"/>
        </w:rPr>
        <w:t>Agreement) determined on a Pro Forma Basis for the most recently ended Test Period plus (b) the amount of all voluntary prepayments, cash amounts actually paid in connection with below par term loan buybacks (to the extent such term loans are cancelled) and undrawn commitment reductions of term loans, revolving credit loans, incremental term loans, incremental revolving credit loans and incremental equivalent debt (in each case (A) with respect to revolving credit loans, to the extent accompanied by a permanent reduction in such revolving credit commitments and (B) to the extent not funded with the proceeds of debt constituting “long-term debt” (other than debt in respect of any revolving credit facility)) plus (c) such other amount so long as such amount at such time could be incurred without causing T-Mobile USA’s pro forma Total First Lien Net Leverage Ratio to exceed 2.0 to</w:t>
      </w:r>
    </w:p>
    <w:p>
      <w:pPr>
        <w:spacing w:after="0" w:line="1" w:lineRule="exact"/>
        <w:rPr>
          <w:sz w:val="20"/>
          <w:szCs w:val="20"/>
          <w:color w:val="auto"/>
        </w:rPr>
      </w:pPr>
    </w:p>
    <w:p>
      <w:pPr>
        <w:ind w:left="300" w:right="359"/>
        <w:spacing w:after="0" w:line="251" w:lineRule="auto"/>
        <w:rPr>
          <w:sz w:val="20"/>
          <w:szCs w:val="20"/>
          <w:color w:val="auto"/>
        </w:rPr>
      </w:pPr>
      <w:r>
        <w:rPr>
          <w:rFonts w:ascii="Arial" w:cs="Arial" w:eastAsia="Arial" w:hAnsi="Arial"/>
          <w:sz w:val="18"/>
          <w:szCs w:val="18"/>
          <w:color w:val="auto"/>
        </w:rPr>
        <w:t>1.0 in the case of incremental loans or commitments that are first lien obligations, Total Secured Net Leverage Ratio (as defined in the Credit Agreement) to exceed 2.5 to 1.0 in the case of incremental loans or commitments that are junior lien obligations, Total Net Leverage Ratio (as defined in the Credit Agreement) to exceed 6.0 to 1.0 in the case of incremental loans or commitments that are unsecured indebtedness or, in the case of incremental term loans incurred in connection with a permitted acquisition or other investment, the Total First Lien Net Leverage Ratio, Total Secured Net Leverage Ratio or Total Net Leverage Ratio, as applicable, immediately prior to such permitted acquisition or other investment. The lenders are not under any obligation to provide any such incremental commitments or loans.</w:t>
      </w:r>
    </w:p>
    <w:p>
      <w:pPr>
        <w:spacing w:after="0" w:line="9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Revolving Credit Facility contains a financial maintenance covenant, requiring T-Mobile USA to maintain a Total First Lien Net Leverage Ratio of 3.30 to 1.00 or less at each fiscal quarter end beginning with the fiscal quarter ending September 30, 2020.</w:t>
      </w:r>
    </w:p>
    <w:p>
      <w:pPr>
        <w:spacing w:after="0" w:line="7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 xml:space="preserve">Under the Credit Agreement, a Change of Control (as defined in the Credit Agreement) that is accompanied or followed by a downgrade by one or more gradations (including gradations within ratings categories as well as between ratings categories) or withdrawal of T-Mobile USA’s corporate rating within a certain period by at least two out of three of S&amp;P, Moody’s and Fitch, where our corporate rating on any day during such period is below the rating by each such rating agency in effect immediately preceding the change of control shall constitute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making the relevant decision(s) referred to above to downgrade or withdraw such ratings, as applicable, the relevant rating agency announces publicly or confirms in writing during such period that such decision(s) resulted, in whole or in part, from the occurrence (or expected occurrence)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notwithstanding the foregoing, no event of default shall occur under the Credit Agreement if</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the applicable downgrade, our corporate rating by at least two out of three of S&amp;P, Moody’s and Fitch is investment grade. If such a change of control accompanied by a downgrade or withdrawal were to occur, we may not have sufficient funds to pay the amounts owing under our Credit Agreement and may be required to obtain third-party financing in order to do so. However, we may not be able to obtain such financing on commercially reasonable terms, or at all.</w:t>
      </w:r>
    </w:p>
    <w:p>
      <w:pPr>
        <w:spacing w:after="0" w:line="76"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Credit Agreement contains customary events of default, including, without limitation, payment defaults, covenant defaults, breaches of certain representations and warranties, cross defaults to certain material indebtedness, certain events of bankruptcy and insolvency, material judgments, a change of control coupled with a ratings downgrade, certain ERISA events and the invalidity of security documents and guarantees. If an event of default occurs and is not cured within any applicable grace period or is not waived, the administrative agent and the lenders will be entitled to take various actions, including, without limitation, the acceleration of amounts due thereunder.</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Tower Transactions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In 2012, T-Mobile conveyed to Crown Castle International Corp. (“CCI”) the exclusive right to manage and operate approximately 6,200 tower sites (“CCI Lease Sites”) via a master prepaid lease with site lease terms ranging from 23 to 37 years (“2012 Tower Transaction”). CCI has fixed-price purchase options for the CCI Lease Sites totaling approximately $2.0 billion, exercisable at the end of the lease term. T-Mobile leases back a portion of the space at certain tower sites for an initial term of 10 years, followed by optional renewals at customary terms.</w:t>
      </w:r>
    </w:p>
    <w:p>
      <w:pPr>
        <w:spacing w:after="0" w:line="53"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Prior to the Merger, Sprint entered into a lease-out and leaseback arrangement with Global Signal Inc., a third party that was subsequently acquired by CCI, that conveyed to CCI the exclusive right to manage and operate approximately 6,400 tower sites (“Master Lease Sites”) via a master prepaid lease. These agreements were assumed upon the close of the Merger, at which point the remaining term of the lease-out was approximately 17 years with no renewal options. CCI has a fixed price purchase option for all (but not less than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59"/>
        <w:spacing w:after="0" w:line="311" w:lineRule="auto"/>
        <w:rPr>
          <w:sz w:val="20"/>
          <w:szCs w:val="20"/>
          <w:color w:val="auto"/>
        </w:rPr>
      </w:pPr>
      <w:r>
        <w:rPr>
          <w:rFonts w:ascii="Arial" w:cs="Arial" w:eastAsia="Arial" w:hAnsi="Arial"/>
          <w:sz w:val="16"/>
          <w:szCs w:val="16"/>
          <w:color w:val="auto"/>
        </w:rPr>
        <w:t>all) of the leased or subleased sites for approximately $2.3 billion, exercisable one year prior to the expiration of the agreement and ending 120 days prior to the expiration of the agreement. T-Mobile leases back a portion of the space at certain tower sites for an initial term of 10 years, followed by optional renewals at customary terms.</w:t>
      </w:r>
    </w:p>
    <w:p>
      <w:pPr>
        <w:spacing w:after="0" w:line="4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As of the Merger closing date (April 1, 2020), T-Mobile recognized Property and equipment at a fair value of $2.8 billion and tower obligations related to amounts owed to CCI under the leaseback of $1.1 billion as the transfer of control criteria in the revenue standard for the tower assets was not met. Additionally, T-Mobile recognized $1.7 billion in other long-term liabilities associated with contract terms that are unfavorable to current market rates, which includes unfavorable terms associated with the fixed-price purchase option in 2037.</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Designated Letter of Credit Facilities</w:t>
      </w:r>
    </w:p>
    <w:p>
      <w:pPr>
        <w:spacing w:after="0" w:line="121"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 xml:space="preserve">In connection with the closing of the Transactions, T-Mobile USA designated obligations under certain letter of credit facilities as secured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obligations under the Existing T-Mobile Secured Notes and the Credit Agreement. Such obligations are also cash collateralized and therefore effectively senior to the Notes. As of December 31, 2020, there were approximately $0.2 billion in outstanding obligations under such facilities.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T-Mobile has factoring arrangements, as amended from time to time, to sell certain Equipment Installment Plan (“EIP”) accounts receivable and service accounts receivable on a revolving basis as a source of additional liquidity. In 2015, T-Mobile entered into the EIP sale arrangement, which is a revolving facility and currently has a maximum funding commitment of $1.3 billion and on November 2, 2020, T-Mobile extended the scheduled expiration date to November 18, 2021. As of December 31, 2020, the EIP sale arrangement provided funding of $1.3 billion. In 2014, T-Mobile entered into the service accounts receivable arrangement which is also a revolving facility and currently has a maximum funding commitment of $950 million and on March 2, 2021, extended the scheduled expiration date to March 1, 2022. As of December 31, 2020, the service accounts receivable arrangement provided funding of $772 million. As of December 31, 2020, T-Mobile derecognized net receivables of $2.5 billion upon sale through these arrangements. These arrangements are not reflected on Parent’s consolidated balance sheet.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519" w:firstLine="360"/>
        <w:spacing w:after="0" w:line="291" w:lineRule="auto"/>
        <w:rPr>
          <w:sz w:val="20"/>
          <w:szCs w:val="20"/>
          <w:color w:val="auto"/>
        </w:rPr>
      </w:pPr>
      <w:r>
        <w:rPr>
          <w:rFonts w:ascii="Arial" w:cs="Arial" w:eastAsia="Arial" w:hAnsi="Arial"/>
          <w:sz w:val="16"/>
          <w:szCs w:val="16"/>
          <w:color w:val="auto"/>
        </w:rPr>
        <w:t>T-Mobile USA, Inc., a Delaware corporation (the “</w:t>
      </w:r>
      <w:r>
        <w:rPr>
          <w:rFonts w:ascii="Arial" w:cs="Arial" w:eastAsia="Arial" w:hAnsi="Arial"/>
          <w:sz w:val="16"/>
          <w:szCs w:val="16"/>
          <w:i w:val="1"/>
          <w:iCs w:val="1"/>
          <w:color w:val="auto"/>
        </w:rPr>
        <w:t>Issuer</w:t>
      </w:r>
      <w:r>
        <w:rPr>
          <w:rFonts w:ascii="Arial" w:cs="Arial" w:eastAsia="Arial" w:hAnsi="Arial"/>
          <w:sz w:val="16"/>
          <w:szCs w:val="16"/>
          <w:color w:val="auto"/>
        </w:rPr>
        <w:t>”), is issuing: $1,200,000,000 in aggregate principal amount of 2.625% Senior Notes due 2026 (the “</w:t>
      </w:r>
      <w:r>
        <w:rPr>
          <w:rFonts w:ascii="Arial" w:cs="Arial" w:eastAsia="Arial" w:hAnsi="Arial"/>
          <w:sz w:val="16"/>
          <w:szCs w:val="16"/>
          <w:i w:val="1"/>
          <w:iCs w:val="1"/>
          <w:color w:val="auto"/>
        </w:rPr>
        <w:t>2026 Notes</w:t>
      </w:r>
      <w:r>
        <w:rPr>
          <w:rFonts w:ascii="Arial" w:cs="Arial" w:eastAsia="Arial" w:hAnsi="Arial"/>
          <w:sz w:val="16"/>
          <w:szCs w:val="16"/>
          <w:color w:val="auto"/>
        </w:rPr>
        <w:t>”), $1,250,000,000 in aggregate principal amount of</w:t>
      </w:r>
    </w:p>
    <w:p>
      <w:pPr>
        <w:ind w:left="300" w:right="619"/>
        <w:spacing w:after="0" w:line="323" w:lineRule="auto"/>
        <w:rPr>
          <w:sz w:val="20"/>
          <w:szCs w:val="20"/>
          <w:color w:val="auto"/>
        </w:rPr>
      </w:pPr>
      <w:r>
        <w:rPr>
          <w:rFonts w:ascii="Arial" w:cs="Arial" w:eastAsia="Arial" w:hAnsi="Arial"/>
          <w:sz w:val="16"/>
          <w:szCs w:val="16"/>
          <w:color w:val="auto"/>
        </w:rPr>
        <w:t>3.375% Senior Notes due 2029 (the “</w:t>
      </w:r>
      <w:r>
        <w:rPr>
          <w:rFonts w:ascii="Arial" w:cs="Arial" w:eastAsia="Arial" w:hAnsi="Arial"/>
          <w:sz w:val="16"/>
          <w:szCs w:val="16"/>
          <w:i w:val="1"/>
          <w:iCs w:val="1"/>
          <w:color w:val="auto"/>
        </w:rPr>
        <w:t>2029 Notes</w:t>
      </w:r>
      <w:r>
        <w:rPr>
          <w:rFonts w:ascii="Arial" w:cs="Arial" w:eastAsia="Arial" w:hAnsi="Arial"/>
          <w:sz w:val="16"/>
          <w:szCs w:val="16"/>
          <w:color w:val="auto"/>
        </w:rPr>
        <w:t>”) and $1,350,000,000 in aggregate principal amount of 3.500% Senior Notes due 2031 (the “</w:t>
      </w:r>
      <w:r>
        <w:rPr>
          <w:rFonts w:ascii="Arial" w:cs="Arial" w:eastAsia="Arial" w:hAnsi="Arial"/>
          <w:sz w:val="16"/>
          <w:szCs w:val="16"/>
          <w:i w:val="1"/>
          <w:iCs w:val="1"/>
          <w:color w:val="auto"/>
        </w:rPr>
        <w:t>2031 Notes</w:t>
      </w:r>
      <w:r>
        <w:rPr>
          <w:rFonts w:ascii="Arial" w:cs="Arial" w:eastAsia="Arial" w:hAnsi="Arial"/>
          <w:sz w:val="16"/>
          <w:szCs w:val="16"/>
          <w:color w:val="auto"/>
        </w:rPr>
        <w:t>,” and together with the 2026 Notes and the 2029 Notes,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3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The Notes will be issued under a base indenture (the “</w:t>
      </w:r>
      <w:r>
        <w:rPr>
          <w:rFonts w:ascii="Arial" w:cs="Arial" w:eastAsia="Arial" w:hAnsi="Arial"/>
          <w:sz w:val="16"/>
          <w:szCs w:val="16"/>
          <w:i w:val="1"/>
          <w:iCs w:val="1"/>
          <w:color w:val="auto"/>
        </w:rPr>
        <w:t>Base Indenture</w:t>
      </w:r>
      <w:r>
        <w:rPr>
          <w:rFonts w:ascii="Arial" w:cs="Arial" w:eastAsia="Arial" w:hAnsi="Arial"/>
          <w:sz w:val="16"/>
          <w:szCs w:val="16"/>
          <w:color w:val="auto"/>
        </w:rPr>
        <w:t>”), dated as of April 28, 2013, among the Issuer, certain Guarantors and Deutsche Bank Trust Company Americas, as trustee (together with its successors and assigns, the “</w:t>
      </w:r>
      <w:r>
        <w:rPr>
          <w:rFonts w:ascii="Arial" w:cs="Arial" w:eastAsia="Arial" w:hAnsi="Arial"/>
          <w:sz w:val="16"/>
          <w:szCs w:val="16"/>
          <w:i w:val="1"/>
          <w:iCs w:val="1"/>
          <w:color w:val="auto"/>
        </w:rPr>
        <w:t>Trustee</w:t>
      </w:r>
      <w:r>
        <w:rPr>
          <w:rFonts w:ascii="Arial" w:cs="Arial" w:eastAsia="Arial" w:hAnsi="Arial"/>
          <w:sz w:val="16"/>
          <w:szCs w:val="16"/>
          <w:color w:val="auto"/>
        </w:rPr>
        <w:t>”), as supplemented (i) with respect to the 2026 Notes by a supplemental indenture dated as of the settlement date of the 2026 Notes (the “</w:t>
      </w:r>
      <w:r>
        <w:rPr>
          <w:rFonts w:ascii="Arial" w:cs="Arial" w:eastAsia="Arial" w:hAnsi="Arial"/>
          <w:sz w:val="16"/>
          <w:szCs w:val="16"/>
          <w:i w:val="1"/>
          <w:iCs w:val="1"/>
          <w:color w:val="auto"/>
        </w:rPr>
        <w:t>2026 Notes Supplemental Indenture</w:t>
      </w:r>
      <w:r>
        <w:rPr>
          <w:rFonts w:ascii="Arial" w:cs="Arial" w:eastAsia="Arial" w:hAnsi="Arial"/>
          <w:sz w:val="16"/>
          <w:szCs w:val="16"/>
          <w:color w:val="auto"/>
        </w:rPr>
        <w:t>”), (ii) with respect to the 2029 Notes by a supplemental indenture dated as of the settlement date of the 2029 Notes (the “</w:t>
      </w:r>
      <w:r>
        <w:rPr>
          <w:rFonts w:ascii="Arial" w:cs="Arial" w:eastAsia="Arial" w:hAnsi="Arial"/>
          <w:sz w:val="16"/>
          <w:szCs w:val="16"/>
          <w:i w:val="1"/>
          <w:iCs w:val="1"/>
          <w:color w:val="auto"/>
        </w:rPr>
        <w:t>2029 Notes Supplemental</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and (iii) with respect to the 2031 Notes by a supplemental indenture dated as of the settlement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2031 Notes (the “</w:t>
      </w:r>
      <w:r>
        <w:rPr>
          <w:rFonts w:ascii="Arial" w:cs="Arial" w:eastAsia="Arial" w:hAnsi="Arial"/>
          <w:sz w:val="16"/>
          <w:szCs w:val="16"/>
          <w:i w:val="1"/>
          <w:iCs w:val="1"/>
          <w:color w:val="auto"/>
        </w:rPr>
        <w:t>2031 Notes Supplemental Indenture</w:t>
      </w:r>
      <w:r>
        <w:rPr>
          <w:rFonts w:ascii="Arial" w:cs="Arial" w:eastAsia="Arial" w:hAnsi="Arial"/>
          <w:sz w:val="16"/>
          <w:szCs w:val="16"/>
          <w:color w:val="auto"/>
        </w:rPr>
        <w:t>” and each of the 2026 Notes Supplemental Indenture, the 2029 Notes Supplemental Indenture and the 2031 Notes Supplemental Indenture, with respect to the applicable series,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among the Issuer, T-Mobile US, Inc., a Delaware corporation and the direct parent company of the Issuer (“</w:t>
      </w:r>
      <w:r>
        <w:rPr>
          <w:rFonts w:ascii="Arial" w:cs="Arial" w:eastAsia="Arial" w:hAnsi="Arial"/>
          <w:sz w:val="16"/>
          <w:szCs w:val="16"/>
          <w:i w:val="1"/>
          <w:iCs w:val="1"/>
          <w:color w:val="auto"/>
        </w:rPr>
        <w:t>Parent</w:t>
      </w:r>
      <w:r>
        <w:rPr>
          <w:rFonts w:ascii="Arial" w:cs="Arial" w:eastAsia="Arial" w:hAnsi="Arial"/>
          <w:sz w:val="16"/>
          <w:szCs w:val="16"/>
          <w:color w:val="auto"/>
        </w:rPr>
        <w:t>”), the Subsidiary Guarantors, the Trustee, Deutsche Bank Trust Company Americas, as paying agent and Deutsche Bank Trust Company Americas, as registrar and transfer agent. In this Description of Notes, the term “</w:t>
      </w:r>
      <w:r>
        <w:rPr>
          <w:rFonts w:ascii="Arial" w:cs="Arial" w:eastAsia="Arial" w:hAnsi="Arial"/>
          <w:sz w:val="16"/>
          <w:szCs w:val="16"/>
          <w:i w:val="1"/>
          <w:iCs w:val="1"/>
          <w:color w:val="auto"/>
        </w:rPr>
        <w:t>Indenture</w:t>
      </w:r>
      <w:r>
        <w:rPr>
          <w:rFonts w:ascii="Arial" w:cs="Arial" w:eastAsia="Arial" w:hAnsi="Arial"/>
          <w:sz w:val="16"/>
          <w:szCs w:val="16"/>
          <w:color w:val="auto"/>
        </w:rPr>
        <w:t>” refers to the Base Indenture as supplemented separately by the Supplemental Indenture for the applicable series of Notes. The terms of the Notes of each series include those stated in the Indenture and those made part of the Indenture by reference to the Trust Indenture Act of 1939, as amended (the “</w:t>
      </w:r>
      <w:r>
        <w:rPr>
          <w:rFonts w:ascii="Arial" w:cs="Arial" w:eastAsia="Arial" w:hAnsi="Arial"/>
          <w:sz w:val="16"/>
          <w:szCs w:val="16"/>
          <w:i w:val="1"/>
          <w:iCs w:val="1"/>
          <w:color w:val="auto"/>
        </w:rPr>
        <w:t>Trust Indenture Act</w:t>
      </w:r>
      <w:r>
        <w:rPr>
          <w:rFonts w:ascii="Arial" w:cs="Arial" w:eastAsia="Arial" w:hAnsi="Arial"/>
          <w:sz w:val="16"/>
          <w:szCs w:val="16"/>
          <w:color w:val="auto"/>
        </w:rPr>
        <w:t>”).</w:t>
      </w:r>
    </w:p>
    <w:p>
      <w:pPr>
        <w:spacing w:after="0" w:line="5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this Description of Notes, (i) the “</w:t>
      </w:r>
      <w:r>
        <w:rPr>
          <w:rFonts w:ascii="Arial" w:cs="Arial" w:eastAsia="Arial" w:hAnsi="Arial"/>
          <w:sz w:val="18"/>
          <w:szCs w:val="18"/>
          <w:i w:val="1"/>
          <w:iCs w:val="1"/>
          <w:color w:val="auto"/>
        </w:rPr>
        <w:t>Issuer</w:t>
      </w:r>
      <w:r>
        <w:rPr>
          <w:rFonts w:ascii="Arial" w:cs="Arial" w:eastAsia="Arial" w:hAnsi="Arial"/>
          <w:sz w:val="18"/>
          <w:szCs w:val="18"/>
          <w:color w:val="auto"/>
        </w:rPr>
        <w:t>” refers only to T-Mobile USA, Inc. and not to any of its Subsidiaries and (ii) “</w:t>
      </w:r>
      <w:r>
        <w:rPr>
          <w:rFonts w:ascii="Arial" w:cs="Arial" w:eastAsia="Arial" w:hAnsi="Arial"/>
          <w:sz w:val="18"/>
          <w:szCs w:val="18"/>
          <w:i w:val="1"/>
          <w:iCs w:val="1"/>
          <w:color w:val="auto"/>
        </w:rPr>
        <w:t>Parent</w:t>
      </w:r>
      <w:r>
        <w:rPr>
          <w:rFonts w:ascii="Arial" w:cs="Arial" w:eastAsia="Arial" w:hAnsi="Arial"/>
          <w:sz w:val="18"/>
          <w:szCs w:val="18"/>
          <w:color w:val="auto"/>
        </w:rPr>
        <w:t>” refers only to T-Mobile US, Inc. and not to any of its Subsidiaries.</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obligations and covenants of the Issuer described in this Description of Notes are only of the Issuer, and not of Parent. Although Parent is a Guarantor of the Notes, Parent and any of its Subsidiaries that are not the Issuer or the Issuer’s Restricted Subsidiaries are generally not subject to any of the obligations and covenants described hereunder.</w:t>
      </w:r>
    </w:p>
    <w:p>
      <w:pPr>
        <w:spacing w:after="0" w:line="79"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terms of the Indenture in their entirety. We urge you to read the Indenture in its entirety because it, and not this Description of Notes, defines your rights as a holder of the Notes. For more information on how you can obtain a copy of the Base Indenture and the Supplemental Indentures, see “Where You Can Find More Information.” You can find the definitions of certain terms used in this Description of Notes under the caption “—Certain Definitions” below. Certain defined terms used in this Description of Notes but not defined below under “—Certain Definitions” have the meanings assigned to them in the Indenture.</w:t>
      </w:r>
    </w:p>
    <w:p>
      <w:pPr>
        <w:spacing w:after="0" w:line="87"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The registered holder of a Note will be treated as the owner of such Note for all purposes. Only registered holders will have rights under the Indenture.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of each series:</w:t>
      </w:r>
    </w:p>
    <w:p>
      <w:pPr>
        <w:spacing w:after="0" w:line="117"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be general unsecured, unsubordinated obligations of the Issuer;</w:t>
      </w:r>
    </w:p>
    <w:p>
      <w:pPr>
        <w:spacing w:after="0" w:line="117" w:lineRule="exact"/>
        <w:rPr>
          <w:rFonts w:ascii="Arial" w:cs="Arial" w:eastAsia="Arial" w:hAnsi="Arial"/>
          <w:sz w:val="18"/>
          <w:szCs w:val="18"/>
          <w:color w:val="auto"/>
        </w:rPr>
      </w:pPr>
    </w:p>
    <w:p>
      <w:pPr>
        <w:ind w:left="1000" w:right="619" w:hanging="348"/>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will be senior in right of payment to any future Indebtedness of the Issuer to the extent that such future Indebtedness provides by its terms that it is subordinated in right of payment to the Notes;</w:t>
      </w:r>
    </w:p>
    <w:p>
      <w:pPr>
        <w:spacing w:after="0" w:line="38" w:lineRule="exact"/>
        <w:rPr>
          <w:rFonts w:ascii="Arial" w:cs="Arial" w:eastAsia="Arial" w:hAnsi="Arial"/>
          <w:sz w:val="17"/>
          <w:szCs w:val="17"/>
          <w:color w:val="auto"/>
        </w:rPr>
      </w:pPr>
    </w:p>
    <w:p>
      <w:pPr>
        <w:ind w:left="1000" w:right="499" w:hanging="348"/>
        <w:spacing w:after="0" w:line="30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will rank equal in right of payment with any of the Issuer’s existing and future Indebtedness and other liabilities that are not by their terms subordinated in right of payment to the Notes, including, without limitation, the obligations under the Existing T-Mobile Secured Notes, the Existing T-Mobile Unsecured Notes, the Existing Sprint Unsecured Notes, the Credit Agreement and the Tower Obligations;</w:t>
      </w:r>
    </w:p>
    <w:p>
      <w:pPr>
        <w:spacing w:after="0" w:line="49" w:lineRule="exact"/>
        <w:rPr>
          <w:rFonts w:ascii="Arial" w:cs="Arial" w:eastAsia="Arial" w:hAnsi="Arial"/>
          <w:sz w:val="16"/>
          <w:szCs w:val="16"/>
          <w:color w:val="auto"/>
        </w:rPr>
      </w:pPr>
    </w:p>
    <w:p>
      <w:pPr>
        <w:ind w:left="1000" w:right="519" w:hanging="348"/>
        <w:spacing w:after="0" w:line="31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will be effectively subordinated to all existing and future secured indebtedness of the Issuer, including, without limitation, obligations under the Existing T-Mobile Secured Notes and the Credit Agreement, in each case to the extent of the value of the Issuer’s assets securing such indebtedness;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7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structurally subordinated to all of the liabilities and other obligations of the Issuer’s subsidiaries that are not obligors with respect to the Notes, including the Existing Sprint Spectrum-Backed Notes, factoring arrangements and tower obligations; and</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be unconditionally guaranteed on a senior unsecured basis by Parent and the Subsidiary Guarantors.</w:t>
      </w:r>
    </w:p>
    <w:p>
      <w:pPr>
        <w:spacing w:after="0" w:line="140"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See “Risk Factors—Risks Related to this Offering and the Notes—The Notes and the Guarantees will be unsecured and effectively subordinated to the Issuer’s and the guarantors’ existing and future secured indebtedness, including the Existing T-Mobile Secured Notes and borrowings under the Credit Agreement” and “Risk Factors— Risks Related to this Offering and the Notes—The Notes and the Guarantees will be structurally subordinated to the indebtedness and other liabilities of the Issuer’s non-guarantor subsidiaries.”</w:t>
      </w:r>
    </w:p>
    <w:p>
      <w:pPr>
        <w:spacing w:after="0" w:line="68"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Assuming that on December 31, 2020, we had completed the Q1 Notes Issuances, and this offering of the Notes and used a portion of the net proceeds of this offering, together with cash on hand, to redeem the full $2.0 billion in aggregate principal amount of the Issuer’s 6.500% Senior Notes due 2026, we would have had approximately $81.4 billion of outstanding indebtedness and other obligations, excluding letter of credit obligations, including</w:t>
      </w:r>
    </w:p>
    <w:p>
      <w:pPr>
        <w:spacing w:after="0" w:line="1"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 xml:space="preserve">$36.3 billion of effectively senior outstanding secured indebtedness and $40.6 billion of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outstanding unsecured indebtedness. Our effectively senior, secured indebtedness would consist of $31.8 billion of Existing T-Mobile Secured Notes and an aggregate principal amount of $4.6 billion of Existing Sprint Spectrum-Backed Notes. Up to $2.4 billion would have remained available for issuance under the Sprint Spectrum Note Facility. Our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unsecured indebtedness would consist of $3.8 billion of Notes offered hereby, $14.1 billion of Existing T-Mobile Unsecured Notes, $19.8 billion of Existing Sprint Unsecured Notes and approximately $3.0 billion in unsecured Tower Obligations. We also would have had $5.5 billion of revolving borrowings available on an effectively senior, secured basis under the Credit Agreement.</w:t>
      </w:r>
    </w:p>
    <w:p>
      <w:pPr>
        <w:spacing w:after="0" w:line="75"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Assuming that on December 31, 2020, we had completed the Q1 Notes Issuances and all of the Note Guarantees were in place, our non-guarantor subsidiaries would have had approximately $12.2 billion of total assets and approximately $6.7 billion of indebtedness and Tower Obligations outstanding.</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 Guarantees</w:t>
      </w:r>
    </w:p>
    <w:p>
      <w:pPr>
        <w:spacing w:after="0" w:line="121"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The Notes will be guaranteed by (i) Parent and any Wholly-Owned Subsidiary of the Issuer that (x) is not an Excluded Subsidiary and (y) is an obligor under (1) the Credit Agreement or (2) assuming such Subsidiary is not an Unrestricted Subsidiary, any capital markets debt securities in an aggregate principal amount in excess of</w:t>
      </w:r>
    </w:p>
    <w:p>
      <w:pPr>
        <w:spacing w:after="0" w:line="2" w:lineRule="exact"/>
        <w:rPr>
          <w:sz w:val="20"/>
          <w:szCs w:val="20"/>
          <w:color w:val="auto"/>
        </w:rPr>
      </w:pPr>
    </w:p>
    <w:p>
      <w:pPr>
        <w:jc w:val="both"/>
        <w:ind w:left="300" w:right="419"/>
        <w:spacing w:after="0" w:line="281" w:lineRule="auto"/>
        <w:rPr>
          <w:sz w:val="20"/>
          <w:szCs w:val="20"/>
          <w:color w:val="auto"/>
        </w:rPr>
      </w:pPr>
      <w:r>
        <w:rPr>
          <w:rFonts w:ascii="Arial" w:cs="Arial" w:eastAsia="Arial" w:hAnsi="Arial"/>
          <w:sz w:val="16"/>
          <w:szCs w:val="16"/>
          <w:color w:val="auto"/>
        </w:rPr>
        <w:t>$500.0 million and (ii) any future direct or indirect Subsidiary of Parent or any Subsidiary of Parent that directly or indirectly owns Capital Stock of the Issuer. Such entities are expected to include the Issuer’s Domestic Subsidiaries that are not Excluded Subsidiaries. These Note Guarantees will be joint and several obligations of the Guarantors.</w:t>
      </w:r>
    </w:p>
    <w:p>
      <w:pPr>
        <w:spacing w:after="0" w:line="2"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obligations of each Guarantor under its Note Guarantee will be limited as necessary to prevent that Note Guarantee from constituting a fraudulent conveyance under applicable law. See “Risk Factors—Risks Related to this Offering and the Notes—The Guarantees may be avoidable and therefore not be enforceable because of fraudulent conveyance or fraudulent transfer laws.”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Guarantee of the Notes by a Guarantor:</w:t>
      </w:r>
    </w:p>
    <w:p>
      <w:pPr>
        <w:spacing w:after="0" w:line="90"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a general unsecured, unsubordinated obligation of such Guarantor;</w:t>
      </w:r>
    </w:p>
    <w:p>
      <w:pPr>
        <w:spacing w:after="0" w:line="76"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senior in right of payment to any future Indebtedness of that Guarantor to the extent that such future Indebtedness provides by its terms that it is subordinated in right of payment to such Guarantor’s Note Guarantee;</w:t>
      </w:r>
    </w:p>
    <w:p>
      <w:pPr>
        <w:spacing w:after="0" w:line="35" w:lineRule="exact"/>
        <w:rPr>
          <w:rFonts w:ascii="Arial" w:cs="Arial" w:eastAsia="Arial" w:hAnsi="Arial"/>
          <w:sz w:val="18"/>
          <w:szCs w:val="18"/>
          <w:color w:val="auto"/>
        </w:rPr>
      </w:pPr>
    </w:p>
    <w:p>
      <w:pPr>
        <w:ind w:left="1000" w:right="539" w:hanging="348"/>
        <w:spacing w:after="0" w:line="279"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will be equal in right of payment with any of the Guarantor’s existing and future Indebtedness and other liabilities that are not by their terms subordinated in right of payment to the Notes, including, without limitation, obligations under the Existing T-Mobile Secured Notes, the Existing T-Mobile Unsecured Notes, the Existing Sprint Unsecured Notes and the Credit Agreement;</w:t>
      </w:r>
    </w:p>
    <w:p>
      <w:pPr>
        <w:spacing w:after="0" w:line="36"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effectively subordinated to any Subsidiary Guarantor’s existing and future secured Indebtedness, including, without limitation, obligations under the Existing T-Mobile Secured Notes and the Credit Agreement, in each case to the extent of the value of the assets of such Subsidiary Guarantor securing such Indebtedness; and</w:t>
      </w:r>
    </w:p>
    <w:p>
      <w:pPr>
        <w:spacing w:after="0" w:line="38"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structurally subordinated to all of the Indebtedness and other obligations of any Subsidiaries of such Guarantor that are not obligors with respect to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See “Risk Factors—Risks Related to this Offering and the Notes—The Notes and the Guarantees will be unsecured and effectively subordinated to the Issuer’s and the guarantors’ existing and future secured indebtedness, including the Existing T-Mobile Secured Notes and borrowings under the Credit Agreement” and “Risk Factors— Risks Related to this Offering and the Notes—The Notes and the Guarantees will be structurally subordinated to the indebtedness and other liabilities of the Issuer’s non-guarantor subsidiaries.”</w:t>
      </w:r>
    </w:p>
    <w:p>
      <w:pPr>
        <w:spacing w:after="0" w:line="68"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Issuer’s existing and future Subsidiaries are or will be required to guarantee the Notes only under the circumstances described below under the subheading “—Certain Covenants—Additional Note Guarantees.” In the event of a bankruptcy, liquidation or reorganization of any non-guarantor Subsidiaries, the non-guarantor Subsidiaries will pay their trade creditors and the holders of their other debt and obligations before they will be able to distribute any of their assets to the Issuer.</w:t>
      </w:r>
    </w:p>
    <w:p>
      <w:pPr>
        <w:spacing w:after="0" w:line="80"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As of the Series Issue Date, all of the Issuer’s Subsidiaries other than Connect CCC, LLC, Sprint Federal Operations, LLC, T-Mobile Airtime Funding LLC, T-Mobile Handset Funding LLC and T-Mobile Ventures LLC will be “Restricted Subsidiaries.” However, under the circumstances described below under the caption “—Certain Covenants—Designation of Restricted and Unrestricted Subsidiaries,” the Issuer will be permitted to designate certain of its Subsidiaries as “Unrestricted Subsidiaries.” The Issuer’s Unrestricted Subsidiaries will not be subject to many of the restrictive covenants in the Indenture. The Issuer’s Unrestricted Subsidiaries will not guarantee the Notes.</w:t>
      </w:r>
    </w:p>
    <w:p>
      <w:pPr>
        <w:spacing w:after="0" w:line="87"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Except as otherwise provided in the following paragraph, prior to the occurrence of an Investment Grade Event Election, a Guarantor of the Notes of any series (other than Parent) may not sell or otherwise dispose of all or substantially all of its assets to, or consolidate with or merge with or into (whether or not such Guarantor is the surviving Person) another Person, other than the Issuer or another Guarantor, unless:</w:t>
      </w:r>
    </w:p>
    <w:p>
      <w:pPr>
        <w:spacing w:after="0" w:line="63" w:lineRule="exact"/>
        <w:rPr>
          <w:sz w:val="20"/>
          <w:szCs w:val="20"/>
          <w:color w:val="auto"/>
        </w:rPr>
      </w:pPr>
    </w:p>
    <w:p>
      <w:pPr>
        <w:ind w:left="1000" w:right="49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in respect of the Notes of such series;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360" w:right="419" w:hanging="348"/>
        <w:spacing w:after="0" w:line="301"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subject to the following paragraph and if it is not already a Guarantor of the Notes of such series, the Person acquiring the property in any such sale or disposition or the Person formed by or surviving any such consolidation or merger assumes all the obligations of that Guarantor under the Indenture and its Note Guarantee of the Notes of such series pursuant to a supplemental indenture; or</w:t>
      </w:r>
    </w:p>
    <w:p>
      <w:pPr>
        <w:spacing w:after="0" w:line="49" w:lineRule="exact"/>
        <w:rPr>
          <w:rFonts w:ascii="Arial" w:cs="Arial" w:eastAsia="Arial" w:hAnsi="Arial"/>
          <w:sz w:val="16"/>
          <w:szCs w:val="16"/>
          <w:color w:val="auto"/>
        </w:rPr>
      </w:pPr>
    </w:p>
    <w:p>
      <w:pPr>
        <w:ind w:left="1360" w:right="519" w:hanging="348"/>
        <w:spacing w:after="0" w:line="311"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such sale or other disposition complies with the “Asset Sale” provisions of the Indenture (it being understood that only such portion of the Net Proceeds as is or is required to be applied on or before the date of such release in accordance with the terms of the Indenture needs to be so applied).</w:t>
      </w:r>
    </w:p>
    <w:p>
      <w:pPr>
        <w:spacing w:after="0" w:line="4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Note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78"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Restricted Subsidiary of the Issuer, if the sale or other disposition is not prohibited by the “Asset Sale” provisions of the Indenture;</w:t>
      </w:r>
    </w:p>
    <w:p>
      <w:pPr>
        <w:spacing w:after="0" w:line="79" w:lineRule="exact"/>
        <w:rPr>
          <w:rFonts w:ascii="Arial" w:cs="Arial" w:eastAsia="Arial" w:hAnsi="Arial"/>
          <w:sz w:val="18"/>
          <w:szCs w:val="18"/>
          <w:color w:val="auto"/>
        </w:rPr>
      </w:pPr>
    </w:p>
    <w:p>
      <w:pPr>
        <w:ind w:left="1000" w:right="419" w:hanging="348"/>
        <w:spacing w:after="0" w:line="279"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719"/>
        <w:spacing w:after="0" w:line="263" w:lineRule="auto"/>
        <w:rPr>
          <w:sz w:val="20"/>
          <w:szCs w:val="20"/>
          <w:color w:val="auto"/>
        </w:rPr>
      </w:pPr>
      <w:r>
        <w:rPr>
          <w:rFonts w:ascii="Arial" w:cs="Arial" w:eastAsia="Arial" w:hAnsi="Arial"/>
          <w:sz w:val="18"/>
          <w:szCs w:val="18"/>
          <w:color w:val="auto"/>
        </w:rPr>
        <w:t>Note Guarantee to the extent that the other person taking an equity interest in such Partially Disposed Subsidiary is not an affiliate of the Issuer that is controlled by Parent, DT or any of their respective subsidiaries or an employee of any of the foregoing;</w:t>
      </w:r>
    </w:p>
    <w:p>
      <w:pPr>
        <w:spacing w:after="0" w:line="76" w:lineRule="exact"/>
        <w:rPr>
          <w:sz w:val="20"/>
          <w:szCs w:val="20"/>
          <w:color w:val="auto"/>
        </w:rPr>
      </w:pPr>
    </w:p>
    <w:p>
      <w:pPr>
        <w:ind w:left="1000" w:right="37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upon the liquidation or dissolution of any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that is continuing;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 or</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Issuer designates any Restricted Subsidiary that is a Guarantor to be an Unrestricted Subsidiary in accordance with the applicable provisions of the Indenture.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300" w:right="579" w:firstLine="360"/>
        <w:spacing w:after="0" w:line="286" w:lineRule="auto"/>
        <w:rPr>
          <w:sz w:val="20"/>
          <w:szCs w:val="20"/>
          <w:color w:val="auto"/>
        </w:rPr>
      </w:pPr>
      <w:r>
        <w:rPr>
          <w:rFonts w:ascii="Arial" w:cs="Arial" w:eastAsia="Arial" w:hAnsi="Arial"/>
          <w:sz w:val="17"/>
          <w:szCs w:val="17"/>
          <w:color w:val="auto"/>
        </w:rPr>
        <w:t>The Issuer will issue $3,800,000,000 in aggregate principal amount of Notes in this offering, of which $1,200,000,000 in aggregate principal amount will be 2026 Notes, $1,250,000,000 in aggregate principal amount will be 2029 Notes and $1,350,000,000 in aggregate principal amount will be 2031 Notes.</w:t>
      </w:r>
    </w:p>
    <w:p>
      <w:pPr>
        <w:spacing w:after="0" w:line="57"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 xml:space="preserve">The Issuer may issue further additional Notes of any series from time to time, and such additional Notes of such series may be issued under the Base Indenture as supplemented either by the Supplemental Indenture for such series of Notes or one or more other supplemental indentures. Any issuance of additional Notes is subject to all of the covenants in the Indenture including the covenant described below under the caption “—Certain Covenants— Incurrence of Indebtedness and Issuance of Disqualified Stock and Preferred Stock.” The Notes of any series and any additional Notes of such series subsequently issued will be treated as a single series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are not fungible with the Notes of any series (or with any other additional Notes of that series) for U.S. federal income tax purposes will have a separate CUSIP, ISIN, common code or other identifying number, as applicable.</w:t>
      </w:r>
    </w:p>
    <w:p>
      <w:pPr>
        <w:spacing w:after="0" w:line="7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Issuer will issue Notes in minimum denominations of $2,000 and integral multiples of $1,000 in excess thereof. The 2026 Notes will mature on April 15, 2026, the 2029 Notes will mature on April 15, 2029 and the 2031 Notes will mature on April 15, 2031.</w:t>
      </w:r>
    </w:p>
    <w:p>
      <w:pPr>
        <w:spacing w:after="0" w:line="76"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Interest on the Notes will accrue from the date of original issuance or, if interest has already been paid, from the date it was most recently paid.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Notes will be computed on the basis of a 360-day year consisting of twelve 30-day months.</w:t>
      </w:r>
    </w:p>
    <w:p>
      <w:pPr>
        <w:spacing w:after="0" w:line="68"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Interest on the 2026 Notes will accrue at the rate of 2.625% per annum, interest on the 2029 Notes will accrue at the rate of 3.375% per annum and interest on the 2031 Notes will accrue at the rate of 3.500% per annum. Interest on the Notes will be payable semiannually in arrears on April 15 and October 15, commencing on October 15, 2021. The Issuer will make each interest payment to the holders of record of each series of the Notes on the immediately preceding April 1 and October 1 (whether or not a Business Day).</w:t>
      </w:r>
    </w:p>
    <w:p>
      <w:pPr>
        <w:spacing w:after="0" w:line="68"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Payments of principal of and interest on the Notes issued in book-entry form or definitive form, if any, will be made as described below under the caption “—Methods of Receiving Payments on the Notes.”</w:t>
      </w:r>
    </w:p>
    <w:p>
      <w:pPr>
        <w:spacing w:after="0" w:line="38" w:lineRule="exact"/>
        <w:rPr>
          <w:sz w:val="20"/>
          <w:szCs w:val="20"/>
          <w:color w:val="auto"/>
        </w:rPr>
      </w:pPr>
    </w:p>
    <w:p>
      <w:pPr>
        <w:ind w:left="300" w:right="359" w:firstLine="360"/>
        <w:spacing w:after="0" w:line="308" w:lineRule="auto"/>
        <w:rPr>
          <w:sz w:val="20"/>
          <w:szCs w:val="20"/>
          <w:color w:val="auto"/>
        </w:rPr>
      </w:pPr>
      <w:r>
        <w:rPr>
          <w:rFonts w:ascii="Arial" w:cs="Arial" w:eastAsia="Arial" w:hAnsi="Arial"/>
          <w:sz w:val="17"/>
          <w:szCs w:val="17"/>
          <w:color w:val="auto"/>
        </w:rPr>
        <w:t>Each series of Notes initially will be evidenced by one or more global notes deposited with a custodian for, and registered in the name of, Cede &amp; Co., as nominee of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The Issuer does not intend to apply for the Notes to be listed on any securities exchange or to arrange for the Notes to be quoted on any quotation system.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If a holder of a definitive note has given wire transfer instructions to the Issuer and the Issuer is the paying agent, the Issuer will pay all principal, interest and premium, if any, on that holder’s Notes in accordance with those instructions until given written notice to the contrary. All other payments on the Notes will be made at the Corporate Trust Office of the Trustee, unless the Issuer elects to make interest payments by check mailed to the noteholders at their address set forth in the books and records of the registrar.</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7"/>
          <w:szCs w:val="17"/>
          <w:color w:val="auto"/>
        </w:rPr>
        <w:t>The Trustee will initially act as paying agent, registrar and transfer agent where Notes may be presented for payment. The Issuer may change the paying agent, registrar or transfer agent without prior notice to the holders of the Notes, and the Issuer or any of its Subsidiaries may act as paying agent or registrar.</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w:t>
      </w:r>
    </w:p>
    <w:p>
      <w:pPr>
        <w:spacing w:after="0" w:line="62" w:lineRule="exact"/>
        <w:rPr>
          <w:sz w:val="20"/>
          <w:szCs w:val="20"/>
          <w:color w:val="auto"/>
        </w:rPr>
      </w:pPr>
    </w:p>
    <w:p>
      <w:pPr>
        <w:ind w:left="300" w:right="539" w:firstLine="360"/>
        <w:spacing w:after="0" w:line="273" w:lineRule="auto"/>
        <w:rPr>
          <w:sz w:val="20"/>
          <w:szCs w:val="20"/>
          <w:color w:val="auto"/>
        </w:rPr>
      </w:pPr>
      <w:r>
        <w:rPr>
          <w:rFonts w:ascii="Arial" w:cs="Arial" w:eastAsia="Arial" w:hAnsi="Arial"/>
          <w:sz w:val="17"/>
          <w:szCs w:val="17"/>
          <w:color w:val="auto"/>
        </w:rPr>
        <w:t>A holder of a definitive note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relating to, arising out of, or in connection with such transfer. The Issuer will not be required to transfer or exchange any Note selected for redemption. Also, the Issuer will not be required to transfer or exchange any Note for a period of 15 days before a selection of Notes to be redeemed.</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Issuer will not be required to make any mandatory redemption or sinking fund payments with respect to the Notes. However, under certain circumstances, the Issuer may be required to offer to purchase Notes as described below under the caption “—Repurchase at the Option of Holders.”</w:t>
      </w:r>
    </w:p>
    <w:p>
      <w:pPr>
        <w:spacing w:after="0" w:line="7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As market conditions warrant, the Issuer and its affiliates may from time to time seek to purchase their outstanding debt securities or loans, including the Notes, in privately negotiated or open market transactions, by tender offer or otherwise. Subject to any applicable limitations contained in the agreements governing such indebtedness, any purchases made by the Issuer may be funded by the use of cash on its balance sheet or the incurrence of new secured or unsecured debt, including borrowings under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Redemption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 xml:space="preserve">At any time prior to April 15, 2023, the Issuer may on any one or more occasions redeem up to 40% of the aggregate principal amount of the 2026 Notes issued under the applicable Indenture, upon not less than 10 nor more than 60 days’ notice, at a redemption price equal to 102.625% of the principal amount of 2026 Notes redeemed plus accrued and unpaid interest, if any, thereon to, but not including, the applicable redemption date, subject to the rights of holders of 2026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ind w:left="1000" w:right="47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2026 Notes issued under the applicable Indenture (excluding 2026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On or after April 15, 2023, the Issuer may redeem all or a part of the 2026 Notes, upon not less than 10 nor more than 60 days’ notice, at the redemption prices (expressed as percentages of the principal amount of 2026 Notes redeemed) set forth below plus accrued and unpaid interest, if any, on the 2026 Notes redeemed to, but not including, the applicable redemption date, if redeemed during the twelve month period beginning on April 15 of the years indicated below, subject to the rights of holders of 2026 Notes on the relevant record date to receive interest due on the relevant interest payment date for periods prior to such redemption date:</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5"/>
              </w:rPr>
              <w:t>Percentage</w:t>
            </w:r>
          </w:p>
        </w:tc>
      </w:tr>
      <w:tr>
        <w:trPr>
          <w:trHeight w:val="53"/>
        </w:trPr>
        <w:tc>
          <w:tcPr>
            <w:tcW w:w="7040" w:type="dxa"/>
            <w:vAlign w:val="bottom"/>
            <w:tcBorders>
              <w:bottom w:val="single" w:sz="8" w:color="auto"/>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101.313%</w:t>
            </w: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100.656%</w:t>
            </w:r>
          </w:p>
        </w:tc>
      </w:tr>
      <w:tr>
        <w:trPr>
          <w:trHeight w:val="54"/>
        </w:trPr>
        <w:tc>
          <w:tcPr>
            <w:tcW w:w="70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100.000%</w:t>
            </w:r>
          </w:p>
        </w:tc>
      </w:tr>
      <w:tr>
        <w:trPr>
          <w:trHeight w:val="54"/>
        </w:trPr>
        <w:tc>
          <w:tcPr>
            <w:tcW w:w="70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-633730</wp:posOffset>
            </wp:positionV>
            <wp:extent cx="3771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74" w:lineRule="exact"/>
        <w:rPr>
          <w:sz w:val="20"/>
          <w:szCs w:val="20"/>
          <w:color w:val="auto"/>
        </w:rPr>
      </w:pPr>
    </w:p>
    <w:p>
      <w:pPr>
        <w:jc w:val="both"/>
        <w:ind w:left="300" w:right="419" w:firstLine="360"/>
        <w:spacing w:after="0" w:line="296" w:lineRule="auto"/>
        <w:rPr>
          <w:sz w:val="20"/>
          <w:szCs w:val="20"/>
          <w:color w:val="auto"/>
        </w:rPr>
      </w:pPr>
      <w:r>
        <w:rPr>
          <w:rFonts w:ascii="Arial" w:cs="Arial" w:eastAsia="Arial" w:hAnsi="Arial"/>
          <w:sz w:val="16"/>
          <w:szCs w:val="16"/>
          <w:color w:val="auto"/>
        </w:rPr>
        <w:t>At any time prior to April 15, 2023, the Issuer may also redeem all or a part of the 2026 Notes, upon not less than 10 nor more than 60 days’ notice, at a redemption price equal to 100% of the principal amount of 2026 Notes redeemed plus the Applicable Premium for the 2026 Notes as of, and accrued and unpaid interest, if any, to, but not including, the redemption date, subject to the rights of holders of 2026 Notes on the relevant record date to receive interest due on the relevant interest payment date for periods prior to such redemption date.</w:t>
      </w:r>
    </w:p>
    <w:p>
      <w:pPr>
        <w:spacing w:after="0" w:line="53"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2026 Notes or portions thereof called for redemption on the redemption date.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2029 Notes</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 xml:space="preserve">At any time prior to April 15, 2024, the Issuer may on any one or more occasions redeem up to 40% of the aggregate principal amount of the 2029 Notes issued under the applicable Indenture, upon not less than 10 nor more than 60 days’ notice, at a redemption price equal to 103.375% of the principal amount of 2029 Notes redeemed plus accrued and unpaid interest, if any, thereon to, but not including, the applicable redemption date, subject to the rights of holders of 2029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ind w:left="1000" w:right="47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2029 Notes issued under the applicable Indenture (excluding 2029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5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On or after April 15, 2024, the Issuer may redeem all or a part of the 2029 Notes, upon not less than 10 nor more than 60 days’ notice, at the redemption prices (expressed as percentages of the principal amount of 2029 Notes redeemed) set forth below plus accrued and unpaid interest, if any, on the 2029 Notes redeemed to, but, not including, the applicable redemption date, if redeemed during the twelve month period beginning on April 15 of the years indicated below, subject to the rights of holders of 2029 Notes on the relevant record date to receive interest on the relevant interest payment date for periods prior to such redemption date:</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5"/>
              </w:rPr>
              <w:t>Percentage</w:t>
            </w:r>
          </w:p>
        </w:tc>
      </w:tr>
      <w:tr>
        <w:trPr>
          <w:trHeight w:val="53"/>
        </w:trPr>
        <w:tc>
          <w:tcPr>
            <w:tcW w:w="72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101.688%</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100.844%</w:t>
            </w:r>
          </w:p>
        </w:tc>
      </w:tr>
      <w:tr>
        <w:trPr>
          <w:trHeight w:val="54"/>
        </w:trPr>
        <w:tc>
          <w:tcPr>
            <w:tcW w:w="7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100.000%</w:t>
            </w:r>
          </w:p>
        </w:tc>
      </w:tr>
      <w:tr>
        <w:trPr>
          <w:trHeight w:val="54"/>
        </w:trPr>
        <w:tc>
          <w:tcPr>
            <w:tcW w:w="72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-633730</wp:posOffset>
            </wp:positionV>
            <wp:extent cx="2400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4" w:lineRule="exact"/>
        <w:rPr>
          <w:sz w:val="20"/>
          <w:szCs w:val="20"/>
          <w:color w:val="auto"/>
        </w:rPr>
      </w:pPr>
    </w:p>
    <w:p>
      <w:pPr>
        <w:jc w:val="both"/>
        <w:ind w:left="300" w:right="419" w:firstLine="360"/>
        <w:spacing w:after="0" w:line="296" w:lineRule="auto"/>
        <w:rPr>
          <w:sz w:val="20"/>
          <w:szCs w:val="20"/>
          <w:color w:val="auto"/>
        </w:rPr>
      </w:pPr>
      <w:r>
        <w:rPr>
          <w:rFonts w:ascii="Arial" w:cs="Arial" w:eastAsia="Arial" w:hAnsi="Arial"/>
          <w:sz w:val="16"/>
          <w:szCs w:val="16"/>
          <w:color w:val="auto"/>
        </w:rPr>
        <w:t>At any time prior to April 15, 2024, the Issuer may also redeem all or a part of the 2029 Notes, upon not less than 10 nor more than 60 days’ notice, at a redemption price equal to 100% of the principal amount of 2029 Notes redeemed plus the Applicable Premium for the 2029 Notes as of, and accrued and unpaid interest, if any, to, but not including, the redemption date, subject to the rights of holders of 2029 Notes on the relevant record date to receive interest due on the relevant interest payment date for periods prior to such redemption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111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2029 Notes or portions thereof called for redemption on the redemption date.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2031 Notes</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 xml:space="preserve">At any time prior to April 15, 2024, the Issuer may on any one or more occasions redeem up to 40% of the aggregate principal amount of the 2031 Notes issued under the applicable Indenture, upon not less than 10 nor more than 60 days’ notice, at a redemption price equal to 103.500% of the principal amount of 2031 Notes redeemed plus accrued and unpaid interest, if any, thereon to, but not including, the applicable redemption date, subject to the rights of holders of 2031 Notes on the relevant record date to receive interest due on the relevant interest payment date for periods prior to such redemption date, with an amount equal to the net cash proceeds of one or more sales of Equity Interests (other than Disqualified Stock) of the Issuer or contributions to the Issuer’s common equity capital made with an amount equal to the net cash proceeds of one or more sales of Equity Interests (other than Disqualified Stock)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3" w:lineRule="exact"/>
        <w:rPr>
          <w:sz w:val="20"/>
          <w:szCs w:val="20"/>
          <w:color w:val="auto"/>
        </w:rPr>
      </w:pPr>
    </w:p>
    <w:p>
      <w:pPr>
        <w:ind w:left="1000" w:right="47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50% of the aggregate principal amount of the 2031 Notes issued under the applicable Indenture (excluding 2031 Notes held by the Issuer and its Subsidiaries) remains outstanding immediately after the occurrence of such redemption; and</w:t>
      </w:r>
    </w:p>
    <w:p>
      <w:pPr>
        <w:spacing w:after="0" w:line="75"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redemption occurs within 180 days of the date of the closing of such sale of Equity Interests by the Issuer or the date of contribution to the Issuer’s common equity capital made with an amount equal to the net cash proceeds of one or more sales of Equity Interests of Parent.</w:t>
      </w:r>
    </w:p>
    <w:p>
      <w:pPr>
        <w:spacing w:after="0" w:line="5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On or after April 15, 2026, the Issuer may redeem all or a part of the 2031 Notes, upon not less than 10 nor more than 60 days’ notice, at the redemption prices (expressed as percentages of the principal amount of 2031 Notes redeemed) set forth below plus accrued and unpaid interest, if any, on the 2031 Notes redeemed to, but, not including, the applicable redemption date, if redeemed during the twelve month period beginning on April 15 of the years indicated below, subject to the rights of holders of 2031 Notes on the relevant record date to receive interest on the relevant interest payment date for periods prior to such redemption date:</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5"/>
              </w:rPr>
              <w:t>Percentage</w:t>
            </w:r>
          </w:p>
        </w:tc>
      </w:tr>
      <w:tr>
        <w:trPr>
          <w:trHeight w:val="53"/>
        </w:trPr>
        <w:tc>
          <w:tcPr>
            <w:tcW w:w="72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101.750%</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101.167%</w:t>
            </w:r>
          </w:p>
        </w:tc>
      </w:tr>
      <w:tr>
        <w:trPr>
          <w:trHeight w:val="54"/>
        </w:trPr>
        <w:tc>
          <w:tcPr>
            <w:tcW w:w="7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100.583%</w:t>
            </w:r>
          </w:p>
        </w:tc>
      </w:tr>
      <w:tr>
        <w:trPr>
          <w:trHeight w:val="270"/>
        </w:trPr>
        <w:tc>
          <w:tcPr>
            <w:tcW w:w="7640" w:type="dxa"/>
            <w:vAlign w:val="bottom"/>
            <w:gridSpan w:val="2"/>
          </w:tcPr>
          <w:p>
            <w:pPr>
              <w:spacing w:after="0"/>
              <w:rPr>
                <w:sz w:val="20"/>
                <w:szCs w:val="20"/>
                <w:color w:val="auto"/>
              </w:rPr>
            </w:pPr>
            <w:r>
              <w:rPr>
                <w:rFonts w:ascii="Arial" w:cs="Arial" w:eastAsia="Arial" w:hAnsi="Arial"/>
                <w:sz w:val="18"/>
                <w:szCs w:val="18"/>
                <w:color w:val="auto"/>
              </w:rPr>
              <w:t>2029 and thereafter</w:t>
            </w:r>
          </w:p>
        </w:tc>
        <w:tc>
          <w:tcPr>
            <w:tcW w:w="780" w:type="dxa"/>
            <w:vAlign w:val="bottom"/>
          </w:tcPr>
          <w:p>
            <w:pPr>
              <w:ind w:left="40"/>
              <w:spacing w:after="0"/>
              <w:rPr>
                <w:sz w:val="20"/>
                <w:szCs w:val="20"/>
                <w:color w:val="auto"/>
              </w:rPr>
            </w:pPr>
            <w:r>
              <w:rPr>
                <w:rFonts w:ascii="Arial" w:cs="Arial" w:eastAsia="Arial" w:hAnsi="Arial"/>
                <w:sz w:val="18"/>
                <w:szCs w:val="18"/>
                <w:color w:val="auto"/>
                <w:w w:val="88"/>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-805180</wp:posOffset>
            </wp:positionV>
            <wp:extent cx="2400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28" w:lineRule="exact"/>
        <w:rPr>
          <w:sz w:val="20"/>
          <w:szCs w:val="20"/>
          <w:color w:val="auto"/>
        </w:rPr>
      </w:pPr>
    </w:p>
    <w:p>
      <w:pPr>
        <w:jc w:val="both"/>
        <w:ind w:left="300" w:right="419" w:firstLine="360"/>
        <w:spacing w:after="0" w:line="296" w:lineRule="auto"/>
        <w:rPr>
          <w:sz w:val="20"/>
          <w:szCs w:val="20"/>
          <w:color w:val="auto"/>
        </w:rPr>
      </w:pPr>
      <w:r>
        <w:rPr>
          <w:rFonts w:ascii="Arial" w:cs="Arial" w:eastAsia="Arial" w:hAnsi="Arial"/>
          <w:sz w:val="16"/>
          <w:szCs w:val="16"/>
          <w:color w:val="auto"/>
        </w:rPr>
        <w:t>At any time prior to April 15, 2026, the Issuer may also redeem all or a part of the 2031 Notes, upon not less than 10 nor more than 60 days’ notice, at a redemption price equal to 100% of the principal amount of 2031 Notes redeemed plus the Applicable Premium for the 2031 Notes as of, and accrued and unpaid interest, if any, to, but not including, the redemption date, subject to the rights of holders of 2031 Notes on the relevant record date to receive interest due on the relevant interest payment date for periods prior to such redemption date.</w:t>
      </w:r>
    </w:p>
    <w:p>
      <w:pPr>
        <w:spacing w:after="0" w:line="53"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2031 Notes or portions thereof called for redemption on the redemption date.</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For the avoidance of doubt, the requirement to pay any Applicable Premium shall not arise in connection with any recovery of amounts due as a result of any breach of any covenant contained in the Indenture or the applicable Notes except where the transaction resulting in such breach was consummated with the intent to breach such covenant.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Under New York’s statute of limitations, any legal action to enforce our payment obligations evidenced by the Notes must be commenced within six years after the payment thereof is due; thereafter our payment obligations will generally become unenforceable. In addition, the Indenture will prohibit the Trustee and the holders from accelerating the obligations under the Notes with respect to or as a result of an Event of Default consisting of any action taken, and reported publicly or to holders of Notes, more than two years prior to the declaration of such acceleration.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If a Change of Control Triggering Event occurs with respect to any series of Notes, each holder of outstanding Notes of such series will have the right to require the Issuer to repurchase all or any part (equal to $2,000 or an integral multiple of $1,000 in excess thereof) of that holder’s Notes of such series pursuant to a Change of Control Offer on the terms set forth in the Indenture. In the Change of Control Offer, the Issuer will offer a Change of Control Payment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for periods prior to such repurchase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Triggering Event, the Issuer will send a notice (the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of Notes to which such Change of Control Triggering Event applies and the Trustee describing the transaction or transactions and identifying the rating decline that together constitute the Change of Control Triggering Event and offering to repurchase the Notes of such series on the Change of Control Payment Date specified in the notice, which date will be no earlier than 10 days and no later than 60 days from the date such notice is sent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pursuant to the procedures required by the Indenture and described in such notice. The Issuer will</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requirements of Rule 14e-1 under the Securities Exchange Act of 1934, as amended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any other securities laws and regulations thereunder to the extent those laws and regulations are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repurchase of the Notes as a result of a Change of Control Triggering Event. To the extent that the provisions of any securities laws or regulations conflict with the Change of Control Triggering Event provisions of the Indenture, or compliance with the Change of Control Triggering Event provisions of the Indenture would constitute a violation of any such laws or regulations, the Issuer will comply with the applicable securities laws and regulations and will not be deemed to have breached its obligations under the Change of Control Triggering Event provisions of the Indenture by virtue of such compliance. In connection with the tender of any Notes with respect to a Change of Control Triggering Event, the tendering holder shall provide good title to the Notes, free and clear of all liens and encumbrances, and shall represent and warrant that such holder is presenting good title, free and clear of all liens and encumbrances, and such other representations and warranties as are customary.</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1000" w:right="63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 or cause to be delivered to the paying agent the Notes properly accepted together with an officers’ certificate stating the aggregate principal amount of Notes or portions of Notes being purchased by the Issuer.</w:t>
      </w:r>
    </w:p>
    <w:p>
      <w:pPr>
        <w:spacing w:after="0" w:line="7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 xml:space="preserve">The paying agent will promptly make payment, to each holder of Notes properly tendered, of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equal to $2,000 or an integral multiple of $1,000 in excess thereof. The Issuer will publicly announce the results of the Change of Control Offer on or as soon as practicable after the Change of Control Payment Date.</w:t>
      </w:r>
    </w:p>
    <w:p>
      <w:pPr>
        <w:spacing w:after="0" w:line="84"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The provisions described above that require the Issuer to make a Change of Control Offer following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or otherwise provide, that the Issuer repurchase or redeem the Notes in the event of a takeover, recapitalization or similar transaction.</w:t>
      </w:r>
    </w:p>
    <w:p>
      <w:pPr>
        <w:spacing w:after="0" w:line="68"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Notwithstanding the foregoing, the Issuer will not be required to make a Change of Control Offer with respect to any series of the Notes upon a Change of Control Triggering Event if (1) a third party makes the Change of Control Offer for such series of Notes in the manner, at the times and otherwise in compliance with the requirements set forth in the Indenture applicable to a Change of Control Offer made by the Issuer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 xml:space="preserve">purchases all Notes of such series properly tendered and not withdrawn under the Change of Control Offer, or (2) notice of redemption with respect to such series has been given pursuant to the Indenture as described above under the caption </w:t>
      </w:r>
      <w:r>
        <w:rPr>
          <w:rFonts w:ascii="Arial" w:cs="Arial" w:eastAsia="Arial" w:hAnsi="Arial"/>
          <w:sz w:val="18"/>
          <w:szCs w:val="18"/>
          <w:i w:val="1"/>
          <w:iCs w:val="1"/>
          <w:color w:val="auto"/>
        </w:rPr>
        <w:t>“</w:t>
      </w:r>
      <w:r>
        <w:rPr>
          <w:rFonts w:ascii="Arial" w:cs="Arial" w:eastAsia="Arial" w:hAnsi="Arial"/>
          <w:sz w:val="18"/>
          <w:szCs w:val="18"/>
          <w:color w:val="auto"/>
        </w:rPr>
        <w:t>—Optional Redemption,” unless and until there is a default in payment of the applicable redemption price.</w:t>
      </w:r>
    </w:p>
    <w:p>
      <w:pPr>
        <w:spacing w:after="0" w:line="79"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A Change of Control Offer may be made in advance of a Change of Control Triggering Event, and conditioned upon such Change of Control Triggering Event, if a definitive agreement has been executed for a transaction that would constitute a Change of Control at the time of making of the Change of Control Offer.</w:t>
      </w:r>
    </w:p>
    <w:p>
      <w:pPr>
        <w:spacing w:after="0" w:line="5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In the event that holders of not less than 90% of the aggregate principal amount of the outstanding Notes of a series accept a Change of Control Offer and the Issuer purchases all of the Notes of such series held by such holders, the Issuer will have the right, upon not less than 10 nor more than 60 days’ notice, given not more than 30 days following the purchase pursuant to the Change of Control Offer described above, to redeem all of the Notes of such series that remain outstanding following such purchase at a redemption price equal to the Change of Control Payment plus, to the extent not included in the Change of Control Payment, accrued and unpaid interest, if any, on the Notes of such series that remain outstanding, to, but not including, the date of redemption (subject to the right of holders of record on the relevant record date to receive interest due on an interest payment date that is on or prior to the redemption date).</w:t>
      </w:r>
    </w:p>
    <w:p>
      <w:pPr>
        <w:spacing w:after="0" w:line="73"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prior to the occurrence of an Investment Grade Event Election, the Issuer and its Restricted Subsidiaries taken as a whole, and following the occurrence of an Investment Grade Event Election,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sale, lease, transfer, conveyance or other disposition of less than all of the assets of the Issuer and its Restricted Subsidiaries taken as a whole to another Person or group may be uncertain.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 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will not, and will not permit any of its Restricted Subsidiaries to, consummate an Asset Sale unless:</w:t>
      </w:r>
    </w:p>
    <w:p>
      <w:pPr>
        <w:spacing w:after="0" w:line="140" w:lineRule="exact"/>
        <w:rPr>
          <w:sz w:val="20"/>
          <w:szCs w:val="20"/>
          <w:color w:val="auto"/>
        </w:rPr>
      </w:pPr>
    </w:p>
    <w:p>
      <w:pPr>
        <w:ind w:left="1000" w:right="37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 (or the Restricted Subsidiary, as the case may be) receives consideration at the time of the Asset Sale at least equal to the Fair Market Value of the assets or Equity Interests issued or sold or otherwise disposed of; and</w:t>
      </w:r>
    </w:p>
    <w:p>
      <w:pPr>
        <w:spacing w:after="0" w:line="75"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75% of the consideration received by the Issuer or such Restricted Subsidiary in the Asset Sale and all other Asset Sales since the Closing Date is in the form of cash, Cash Equivalents or Replacement Assets or a combination thereof. For purposes of this provision, each of the following will be deemed to be cash:</w:t>
      </w:r>
    </w:p>
    <w:p>
      <w:pPr>
        <w:spacing w:after="0" w:line="78" w:lineRule="exact"/>
        <w:rPr>
          <w:rFonts w:ascii="Arial" w:cs="Arial" w:eastAsia="Arial" w:hAnsi="Arial"/>
          <w:sz w:val="18"/>
          <w:szCs w:val="18"/>
          <w:color w:val="auto"/>
        </w:rPr>
      </w:pPr>
    </w:p>
    <w:p>
      <w:pPr>
        <w:ind w:left="1360" w:right="319" w:hanging="348"/>
        <w:spacing w:after="0" w:line="255" w:lineRule="auto"/>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liabilities, as shown on the Issuer’s most recent consolidated balance sheet (or as would be shown on the Issuer’s consolidated balance sheet as of the date of such Asset Sale), of the Issuer or any Restricted Subsidiary (other than contingent liabilities and liabilities that are by their terms subordinated to the Notes or any Note Guarantees) that are assumed by the transferee of any such assets pursuant to a novation agreement that releases the Issuer or such Restricted Subsidiary from further liability;</w:t>
      </w:r>
    </w:p>
    <w:p>
      <w:pPr>
        <w:spacing w:after="0" w:line="84" w:lineRule="exact"/>
        <w:rPr>
          <w:rFonts w:ascii="Arial" w:cs="Arial" w:eastAsia="Arial" w:hAnsi="Arial"/>
          <w:sz w:val="18"/>
          <w:szCs w:val="18"/>
          <w:color w:val="auto"/>
        </w:rPr>
      </w:pPr>
    </w:p>
    <w:p>
      <w:pPr>
        <w:jc w:val="both"/>
        <w:ind w:left="1360" w:right="579" w:hanging="348"/>
        <w:spacing w:after="0" w:line="301" w:lineRule="auto"/>
        <w:tabs>
          <w:tab w:leader="none" w:pos="1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securities, notes or other obligations received by the Issuer, or any such Restricted Subsidiary, from such transferee that are converted by the Issuer or such Restricted Subsidiary into cash, Cash Equivalents or Replacement Assets within 90 days after such Asset Sale, to the extent of the cash, Cash Equivalents or Replacement Assets received in that conversion;</w:t>
      </w:r>
    </w:p>
    <w:p>
      <w:pPr>
        <w:spacing w:after="0" w:line="49" w:lineRule="exact"/>
        <w:rPr>
          <w:rFonts w:ascii="Arial" w:cs="Arial" w:eastAsia="Arial" w:hAnsi="Arial"/>
          <w:sz w:val="16"/>
          <w:szCs w:val="16"/>
          <w:color w:val="auto"/>
        </w:rPr>
      </w:pPr>
    </w:p>
    <w:p>
      <w:pPr>
        <w:ind w:left="1360" w:right="439" w:hanging="348"/>
        <w:spacing w:after="0" w:line="263" w:lineRule="auto"/>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consideration consisting of Indebtedness of the Issuer or a Restricted Subsidiary (other than Subordinated Indebtedness) received after the Series Issue Date from Persons who are not the Issuer or any Restricted Subsidiary; and</w:t>
      </w:r>
    </w:p>
    <w:p>
      <w:pPr>
        <w:spacing w:after="0" w:line="75" w:lineRule="exact"/>
        <w:rPr>
          <w:rFonts w:ascii="Arial" w:cs="Arial" w:eastAsia="Arial" w:hAnsi="Arial"/>
          <w:sz w:val="18"/>
          <w:szCs w:val="18"/>
          <w:color w:val="auto"/>
        </w:rPr>
      </w:pPr>
    </w:p>
    <w:p>
      <w:pPr>
        <w:jc w:val="both"/>
        <w:ind w:left="1360" w:right="479" w:hanging="348"/>
        <w:spacing w:after="0" w:line="311" w:lineRule="auto"/>
        <w:tabs>
          <w:tab w:leader="none" w:pos="1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Issuer or any Restricted Subsidiary in such Asset Sale having an aggregate Fair Market Value (as determined in good faith by the Issuer), taken together with all other Designated Non-cash Consideration received pursuant to this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79"/>
        <w:spacing w:after="0" w:line="263" w:lineRule="auto"/>
        <w:rPr>
          <w:sz w:val="20"/>
          <w:szCs w:val="20"/>
          <w:color w:val="auto"/>
        </w:rPr>
      </w:pPr>
      <w:r>
        <w:rPr>
          <w:rFonts w:ascii="Arial" w:cs="Arial" w:eastAsia="Arial" w:hAnsi="Arial"/>
          <w:sz w:val="18"/>
          <w:szCs w:val="18"/>
          <w:color w:val="auto"/>
        </w:rPr>
        <w:t>clause (d) that is at any time outstanding, not to exceed 5% of the Issuer’s Total Assets (with the Fair Market Value of each item of Designated Non-cash Consideration being measured at the time received and without giving effect to subsequent changes in value).</w:t>
      </w:r>
    </w:p>
    <w:p>
      <w:pPr>
        <w:spacing w:after="0" w:line="76"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Notwithstanding the foregoing, the 75% limitation referred to above shall be deemed satisfied with respect to any Asset Sale in which the cash, Cash Equivalents or Replacement Assets portion of the consideration received therefrom, determined in accordance with the foregoing provision on an after-tax basis, is equal to or greater than what the after-tax proceeds would have been had such Asset Sale complied with the aforementioned 75% limitation.</w:t>
      </w:r>
    </w:p>
    <w:p>
      <w:pPr>
        <w:spacing w:after="0" w:line="4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Within 365 days after the receipt of any Net Proceeds from an Asset Sale, the Issuer or a Restricted Subsidiary may apply an amount equal to such Net Proceeds:</w:t>
      </w:r>
    </w:p>
    <w:p>
      <w:pPr>
        <w:spacing w:after="0" w:line="62"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purchase Replacement Assets;</w:t>
      </w:r>
    </w:p>
    <w:p>
      <w:pPr>
        <w:spacing w:after="0" w:line="117"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prepay, repay, defease, redeem, purchase or otherwise retire Indebtedness and other Obligations under a Credit Facility or Indebtedness secured by property that is subject to such Asset Sale and, if the Indebtedness repaid is revolving credit Indebtedness, to correspondingly reduce commitments with respect thereto;</w:t>
      </w:r>
    </w:p>
    <w:p>
      <w:pPr>
        <w:spacing w:after="0" w:line="78" w:lineRule="exact"/>
        <w:rPr>
          <w:rFonts w:ascii="Arial" w:cs="Arial" w:eastAsia="Arial" w:hAnsi="Arial"/>
          <w:sz w:val="18"/>
          <w:szCs w:val="18"/>
          <w:color w:val="auto"/>
        </w:rPr>
      </w:pPr>
    </w:p>
    <w:p>
      <w:pPr>
        <w:ind w:left="1000" w:right="339" w:hanging="348"/>
        <w:spacing w:after="0" w:line="29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to prepay, repay, defease, redeem, purchase or otherwise retire Obligations under Indebtedness that is not Subordinated Indebtedness other than the Indebtedness described in clause (2) above (and, if the Indebtedness repaid is revolving credit Indebtedness, to correspondingly reduce commitments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equally and ratably prepay, repay, defease, redeem, purchase or otherwise retire (or offer to prepay, repay, defease, redeem, purchase or otherwise retire, as applicable) Obligations under the Notes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for no less than 100% of the principal amount thereof plus accrued and unpaid interest, if any, thereon to, but not including, the applicable redemption date; or</w:t>
      </w:r>
    </w:p>
    <w:p>
      <w:pPr>
        <w:spacing w:after="0" w:line="58" w:lineRule="exact"/>
        <w:rPr>
          <w:rFonts w:ascii="Arial" w:cs="Arial" w:eastAsia="Arial" w:hAnsi="Arial"/>
          <w:sz w:val="16"/>
          <w:szCs w:val="16"/>
          <w:color w:val="auto"/>
        </w:rPr>
      </w:pPr>
    </w:p>
    <w:p>
      <w:pPr>
        <w:ind w:left="1000" w:right="399" w:hanging="348"/>
        <w:spacing w:after="0" w:line="279"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the assets subject to such Asset Sale are the property or assets of a Restricted Subsidiary that is not a Guarantor, to prepay, repay, defease, redeem, purchase or otherwise retire Indebtedness of such Restricted Subsidiary or Indebtedness of any other Restricted Subsidiary that is not a Guarantor, other than Indebtedness owed to the Issuer or any Restricted Subsidiary.</w:t>
      </w:r>
    </w:p>
    <w:p>
      <w:pPr>
        <w:spacing w:after="0" w:line="63"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Notwithstanding the foregoing, if within 365 days after the receipt of any Net Proceeds from an Asset Sale, the Issuer or a Restricted Subsidiary enters into a binding written agreement committing the Issuer or such Restricted Subsidiary, subject to customary conditions, to an application of funds of the kind described in clause (1) above, the Issuer or such Restricted Subsidiary shall be deemed not to be in violation of the preceding paragraph so long as such application of funds is consummated within 545 days of the receipt of such Net Proceeds.</w:t>
      </w:r>
    </w:p>
    <w:p>
      <w:pPr>
        <w:spacing w:after="0" w:line="53"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Pending the final application of any Net Proceeds of an Asset Sale, the Issuer may temporarily reduce revolving credit borrowings or otherwise use the Net Proceeds in any manner that is not prohibited by the Indenture.</w:t>
      </w:r>
    </w:p>
    <w:p>
      <w:pPr>
        <w:spacing w:after="0" w:line="16"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An amount equal to any Net Proceeds from Asset Sales that are not applied or invested as provided in the third paragraph of this covenant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When the aggregate amount of Excess Proceeds exceeds $100.0 million, within 20 days thereof, the Issuer shall apply the entire aggregate amount of unutilized Excess Proceeds (not only the amount in excess of $100.0 million) to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to all holders of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requiring the Issuer to make an offer to purchase or redeem with the proceeds of sales of assets to purchase the maximum principal amount of Notes and purchase or redeem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or redeemed out of the Excess Proceeds. The offer price in any Asset Sale Offer will be equal to 100% of the principal amount of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or redeemed with Excess Proceeds, plus accrued and unpaid interest, if any, to, but not including, the date of consummation of the purchase, and will be payable in cash. If any Excess Proceeds remain after consummation of an Asset Sale Offer, the Issuer and its Restricted Subsidiaries may use those Excess Proceeds for any purpose not otherwise prohibited by the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 response to such Asset Sale Offer exceeds the amount of Excess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311" w:lineRule="auto"/>
        <w:rPr>
          <w:sz w:val="20"/>
          <w:szCs w:val="20"/>
          <w:color w:val="auto"/>
        </w:rPr>
      </w:pPr>
      <w:r>
        <w:rPr>
          <w:rFonts w:ascii="Arial" w:cs="Arial" w:eastAsia="Arial" w:hAnsi="Arial"/>
          <w:sz w:val="16"/>
          <w:szCs w:val="16"/>
          <w:color w:val="auto"/>
        </w:rPr>
        <w:t xml:space="preserve">the Trustee shall select the Notes and the Issuer will select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or redeemed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otherwise required by law or applicable stock exchange or depositary requirements. Upon completion of each Asset Sale Offer, the amount of Excess Proceeds will be reset at zero.</w:t>
      </w:r>
    </w:p>
    <w:p>
      <w:pPr>
        <w:spacing w:after="0" w:line="4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the Indenture, or compliance with the Asset Sale provisions of the Indenture would constitute a violation of any such laws or regulations, the Issuer will comply with the applicable securities laws and regulations and will not be deemed to have breached its obligations under the Asset Sale provisions of the Indenture by virtue of such compliance.</w:t>
      </w:r>
    </w:p>
    <w:p>
      <w:pPr>
        <w:spacing w:after="0" w:line="69" w:lineRule="exact"/>
        <w:rPr>
          <w:sz w:val="20"/>
          <w:szCs w:val="20"/>
          <w:color w:val="auto"/>
        </w:rPr>
      </w:pPr>
    </w:p>
    <w:p>
      <w:pPr>
        <w:ind w:left="300" w:right="399" w:firstLine="360"/>
        <w:spacing w:after="0" w:line="285" w:lineRule="auto"/>
        <w:rPr>
          <w:sz w:val="20"/>
          <w:szCs w:val="20"/>
          <w:color w:val="auto"/>
        </w:rPr>
      </w:pPr>
      <w:r>
        <w:rPr>
          <w:rFonts w:ascii="Arial" w:cs="Arial" w:eastAsia="Arial" w:hAnsi="Arial"/>
          <w:sz w:val="16"/>
          <w:szCs w:val="16"/>
          <w:color w:val="auto"/>
        </w:rPr>
        <w:t>The agreements governing the Issuer’s other Indebtedness contain, and future agreements may contain, prohibitions of certain events, including events that would constitute a Change of Control or an Asset Sale and may prohibit repurchases of or other prepayments in respect of the Notes. The exercise by the holders of the Notes of their right to require the Issuer to repurchase the Notes upon a Change of Control Triggering Event or an Asset Sale could cause a default under these other agreements, even if the Change of Control Triggering Event or Asset Sale itself does not, due to the financial effect of such repurchases or other prepayments on the Issuer. In the event a Change of Control Triggering Event or Asset Sale occurs at a time when the Issuer is prohibited from purchasing Notes, the Issuer could seek the consent of the holders of such Indebtedness to the purchase of Notes or could attempt to refinance the borrowings that contain such prohibition. If the Issuer does not obtain a consent or repay those borrowings, the Issuer will remain prohibited from purchasing Notes. In that case, the Issuer’s failure to purchase tendered Notes would constitute an Event of Default under the applicable Indenture that could, in turn, constitute a default under the other Indebtedness. Finally, the Issuer’s ability to pay cash to the holders of Notes upon a repurchase may be limited by the Issuer’s then existing financial resources. See “Risk Factors—Risks Related to this Offering and the Notes—The indentures governing the Notes, the Existing T-Mobile Secured Notes, the Existing T-Mobile Unsecured Notes and the Existing Sprint Unsecured Notes, the Credit Agreement and other financing arrangements include or will include restrictive covenants that limit our operating flexibility.”</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300" w:right="839" w:firstLine="360"/>
        <w:spacing w:after="0" w:line="263" w:lineRule="auto"/>
        <w:rPr>
          <w:sz w:val="20"/>
          <w:szCs w:val="20"/>
          <w:color w:val="auto"/>
        </w:rPr>
      </w:pPr>
      <w:r>
        <w:rPr>
          <w:rFonts w:ascii="Arial" w:cs="Arial" w:eastAsia="Arial" w:hAnsi="Arial"/>
          <w:sz w:val="18"/>
          <w:szCs w:val="18"/>
          <w:color w:val="auto"/>
        </w:rPr>
        <w:t xml:space="preserve">If less than all of the Notes of a series are to be redeemed, the Trustee will select Notes of such series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unless otherwise required by law or applicable stock exchange or depositary requirements.</w:t>
      </w:r>
    </w:p>
    <w:p>
      <w:pPr>
        <w:spacing w:after="0" w:line="7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No Notes of $2,000 or less can be redeemed in part. Notices of redemption will be sent electronically or mailed by first class mail at least 10 but not more than 60 days before the redemption date to each holder of Notes to be redeemed at its registered address, except that redemption notices may be sent more than 60 days prior to a redemption date if the notice is issued in connection with a defeasance of the Notes of a series or a satisfaction and discharge of the Indenture with respect to such series. Any such notice of redemption may, at the Issuer’s discretion, state that such redemption is subject to one or more conditions precedent, including, but not limited to, completion of an equity offering, other offering, issuance of Indebtedness or other corporate transaction or event.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(whether the original redemption date or the redemption date so delayed).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7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If in definitive form a new Note in principal amount equal to the unredeemed portion of the original Note will be issued in the name of the holder of Notes upon cancellation of the original note. Except to the extent that a notice of redemption is conditional, Notes called for redemption become due on the date fixed for redemption. On and after the redemption date, interest ceases to accrue on Notes or portions of Notes called for redemption.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Covenants When Notes Rated Investment Grade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on any date following the Series Issue Date with respect to a series of Notes:</w:t>
      </w:r>
    </w:p>
    <w:p>
      <w:pPr>
        <w:spacing w:after="0" w:line="117" w:lineRule="exact"/>
        <w:rPr>
          <w:sz w:val="20"/>
          <w:szCs w:val="20"/>
          <w:color w:val="auto"/>
        </w:rPr>
      </w:pPr>
    </w:p>
    <w:p>
      <w:pPr>
        <w:ind w:left="1000" w:hanging="348"/>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Notes of such series are rated Investment Grade by two out of the three Rating Agencies; and</w:t>
      </w:r>
    </w:p>
    <w:p>
      <w:pPr>
        <w:spacing w:after="0" w:line="128" w:lineRule="exact"/>
        <w:rPr>
          <w:rFonts w:ascii="Arial" w:cs="Arial" w:eastAsia="Arial" w:hAnsi="Arial"/>
          <w:sz w:val="17"/>
          <w:szCs w:val="17"/>
          <w:color w:val="auto"/>
        </w:rPr>
      </w:pPr>
    </w:p>
    <w:p>
      <w:pPr>
        <w:ind w:left="1000" w:right="639" w:hanging="348"/>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with respect to the Notes of such series (other than with respect to the covenants specifically listed under the following captions),</w:t>
      </w:r>
    </w:p>
    <w:p>
      <w:pPr>
        <w:spacing w:after="0" w:line="16" w:lineRule="exact"/>
        <w:rPr>
          <w:sz w:val="20"/>
          <w:szCs w:val="20"/>
          <w:color w:val="auto"/>
        </w:rPr>
      </w:pPr>
    </w:p>
    <w:p>
      <w:pPr>
        <w:ind w:left="660" w:right="439"/>
        <w:spacing w:after="0" w:line="263" w:lineRule="auto"/>
        <w:rPr>
          <w:sz w:val="20"/>
          <w:szCs w:val="20"/>
          <w:color w:val="auto"/>
        </w:rPr>
      </w:pPr>
      <w:r>
        <w:rPr>
          <w:rFonts w:ascii="Arial" w:cs="Arial" w:eastAsia="Arial" w:hAnsi="Arial"/>
          <w:sz w:val="18"/>
          <w:szCs w:val="18"/>
          <w:color w:val="auto"/>
        </w:rPr>
        <w:t>then, beginning on that day, the covenants specifically listed under the following captions in this prospectus supplement will cease to apply to such series of Notes and will not be later reinstated even if the ratings of the Notes of such series should subsequently decline:</w:t>
      </w:r>
    </w:p>
    <w:p>
      <w:pPr>
        <w:spacing w:after="0" w:line="76"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“—Repurchase at the Option of Holders—Asset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“—Incurrence of Indebtedness and Issuance of Disqualified Stock and Preferred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 and</w:t>
      </w:r>
    </w:p>
    <w:p>
      <w:pPr>
        <w:spacing w:after="0" w:line="117"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clauses (3) (to the extent that a Default or Event of Default exists by reason of one or more of the covenants specifically listed in this paragraph) and (4) of the covenant described below under the caption “—Merger, Consolidation or Sale of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can be no assurance that the Notes of any series will ever achieve an Investment Grade rating.</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will not, and will not permit any of its Restricted Subsidiaries to, directly or indirectly:</w:t>
      </w:r>
    </w:p>
    <w:p>
      <w:pPr>
        <w:spacing w:after="0" w:line="117" w:lineRule="exact"/>
        <w:rPr>
          <w:sz w:val="20"/>
          <w:szCs w:val="20"/>
          <w:color w:val="auto"/>
        </w:rPr>
      </w:pPr>
    </w:p>
    <w:p>
      <w:pPr>
        <w:ind w:left="1000" w:right="379" w:hanging="348"/>
        <w:spacing w:after="0" w:line="254"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declare or pay (without duplication) any dividend, or make any other payment or distribution, on account of the Issuer’s or any of its Restricted Subsidiaries’ Equity Interests (including any payment in connection with any merger or consolidation involving the Issuer or any of its Restricted Subsidiaries) or to the direct or indirect holders of the Issuer’s or any of its Restricted Subsidiaries’ Equity Interests in their capacity as such (other than dividends or distributions payable in Equity Interests (other than Disqualified Stock) of the Issuer and other than dividends or distributions payable to the Issuer or a Restricted Subsidiary of the Issuer);</w:t>
      </w:r>
    </w:p>
    <w:p>
      <w:pPr>
        <w:spacing w:after="0" w:line="86"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in connection with any merger or consolidation involving the Issuer) any Equity Interests of the Issuer or any direct or indirect parent of the Issuer;</w:t>
      </w:r>
    </w:p>
    <w:p>
      <w:pPr>
        <w:spacing w:after="0" w:line="75" w:lineRule="exact"/>
        <w:rPr>
          <w:rFonts w:ascii="Arial" w:cs="Arial" w:eastAsia="Arial" w:hAnsi="Arial"/>
          <w:sz w:val="18"/>
          <w:szCs w:val="18"/>
          <w:color w:val="auto"/>
        </w:rPr>
      </w:pPr>
    </w:p>
    <w:p>
      <w:pPr>
        <w:ind w:left="1000" w:right="559" w:hanging="348"/>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Subordinated Indebtedness (excluding any intercompany Indebtedness between or among the Issuer and any of its Restricted Subsidiaries), except a payment of interest or principal at the Stated Maturity thereof; or</w:t>
      </w:r>
    </w:p>
    <w:p>
      <w:pPr>
        <w:spacing w:after="0" w:line="78"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as “Restricted Payments”),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360" w:right="599" w:hanging="348"/>
        <w:spacing w:after="0" w:line="277" w:lineRule="auto"/>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62" w:lineRule="exact"/>
        <w:rPr>
          <w:rFonts w:ascii="Arial" w:cs="Arial" w:eastAsia="Arial" w:hAnsi="Arial"/>
          <w:sz w:val="18"/>
          <w:szCs w:val="18"/>
          <w:color w:val="auto"/>
        </w:rPr>
      </w:pPr>
    </w:p>
    <w:p>
      <w:pPr>
        <w:ind w:left="1360" w:right="459" w:hanging="348"/>
        <w:spacing w:after="0" w:line="342" w:lineRule="auto"/>
        <w:tabs>
          <w:tab w:leader="none" w:pos="1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Issuer would, at the time of such Restricted Payment and after giving pro forma effect thereto as if such Restricted Payment had been made at the beginning of the applicable four-quarter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99"/>
        <w:spacing w:after="0" w:line="311" w:lineRule="auto"/>
        <w:rPr>
          <w:sz w:val="20"/>
          <w:szCs w:val="20"/>
          <w:color w:val="auto"/>
        </w:rPr>
      </w:pPr>
      <w:r>
        <w:rPr>
          <w:rFonts w:ascii="Arial" w:cs="Arial" w:eastAsia="Arial" w:hAnsi="Arial"/>
          <w:sz w:val="16"/>
          <w:szCs w:val="16"/>
          <w:color w:val="auto"/>
        </w:rPr>
        <w:t>period, have been permitted to incur at least $1.00 of additional Indebtedness pursuant to the Debt to Cash Flow Ratio test set forth in the first paragraph of the covenant described below under the caption “—Incurrence of Indebtedness and Issuance of Disqualified Stock and Preferred Stock”; and</w:t>
      </w:r>
    </w:p>
    <w:p>
      <w:pPr>
        <w:spacing w:after="0" w:line="41" w:lineRule="exact"/>
        <w:rPr>
          <w:sz w:val="20"/>
          <w:szCs w:val="20"/>
          <w:color w:val="auto"/>
        </w:rPr>
      </w:pPr>
    </w:p>
    <w:p>
      <w:pPr>
        <w:ind w:left="1360" w:right="379" w:hanging="348"/>
        <w:spacing w:after="0" w:line="279" w:lineRule="auto"/>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such Restricted Payment, together with the aggregate amount of all other Restricted Payments made by the Issuer and its Restricted Subsidiaries since the Closing Date (excluding Restricted Payments permitted by clauses (2), (3), (4), (5), (6), (7), (8), (9), (11), (12), (13), (14), (15), (16) and (17) of the next succeeding paragraph), is less than the sum, without duplication, of:</w:t>
      </w:r>
    </w:p>
    <w:p>
      <w:pPr>
        <w:spacing w:after="0" w:line="63" w:lineRule="exact"/>
        <w:rPr>
          <w:rFonts w:ascii="Arial" w:cs="Arial" w:eastAsia="Arial" w:hAnsi="Arial"/>
          <w:sz w:val="17"/>
          <w:szCs w:val="17"/>
          <w:color w:val="auto"/>
        </w:rPr>
      </w:pPr>
    </w:p>
    <w:p>
      <w:pPr>
        <w:ind w:left="1720" w:right="379" w:hanging="348"/>
        <w:spacing w:after="0" w:line="301" w:lineRule="auto"/>
        <w:tabs>
          <w:tab w:leader="none" w:pos="1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100% of the Issuer’s Consolidated Cash Flow for the period (taken as one accounting period) from and after the Closing Date to the end of the Issuer’s most recently ended fiscal quarter for which internal financial statements are available at the time of such Restricted Payment, less the product of 1.4 times the Issuer’s Consolidated Interest Expense for the same period;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ind w:left="1720" w:right="379" w:hanging="348"/>
        <w:spacing w:after="0" w:line="271" w:lineRule="auto"/>
        <w:tabs>
          <w:tab w:leader="none" w:pos="17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100% of the aggregate net cash proceeds, and the Fair Market Value of any property other than cash, in each case received by the Issuer after the Closing Date as a contribution to its common equity capital (other than any such contribution resulting, or deemed to result, from the Merger) or from the issue or sale of Equity Interests of the Issuer (other than Disqualified Stock) or from the issue or sale of convertible or exchangeable Disqualified Stock or convertible or exchangeable debt securities of the Issuer that have been converted into or exchanged for such Equity Interests (other than Equity Interests (or Disqualified Stock or debt securities) sold to a Subsidiary of the Issuer); </w:t>
      </w:r>
      <w:r>
        <w:rPr>
          <w:rFonts w:ascii="Arial" w:cs="Arial" w:eastAsia="Arial" w:hAnsi="Arial"/>
          <w:sz w:val="17"/>
          <w:szCs w:val="17"/>
          <w:i w:val="1"/>
          <w:iCs w:val="1"/>
          <w:color w:val="auto"/>
        </w:rPr>
        <w:t>plus</w:t>
      </w:r>
    </w:p>
    <w:p>
      <w:pPr>
        <w:spacing w:after="0" w:line="70" w:lineRule="exact"/>
        <w:rPr>
          <w:rFonts w:ascii="Arial" w:cs="Arial" w:eastAsia="Arial" w:hAnsi="Arial"/>
          <w:sz w:val="17"/>
          <w:szCs w:val="17"/>
          <w:color w:val="auto"/>
        </w:rPr>
      </w:pPr>
    </w:p>
    <w:p>
      <w:pPr>
        <w:ind w:left="1720" w:right="359" w:hanging="348"/>
        <w:spacing w:after="0" w:line="254" w:lineRule="auto"/>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Closing Date, or, that any Restricted Investment that was made by MetroPCS Wireless, Inc. or any of its Restricted Subsidiaries after November 3, 2006 and prior to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and solely to the extent that, such Restricted Investment, at the time made, reduced the amount that would be calculated pursuant to clause (g) below), in each case, is sold for cash or Cash Equivalents, or otherwise is liquidated or repaid for cash or Cash Equivalents, an amount equal to such cash and Cash Equivalents;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jc w:val="both"/>
        <w:ind w:left="1720" w:right="399" w:hanging="348"/>
        <w:spacing w:after="0" w:line="301" w:lineRule="auto"/>
        <w:tabs>
          <w:tab w:leader="none" w:pos="1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to the extent that any Unrestricted Subsidiary of the Issuer designated as such after the Closing Date is redesignated as a Restricted Subsidiary after the Closing Date, the Fair Market Value of the Issuer’s Investment in such Subsidiary as of the date of such redesignation; other than to the extent such Investment constituted a Permitted Investment;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ind w:left="1720" w:right="399" w:hanging="348"/>
        <w:spacing w:after="0" w:line="254" w:lineRule="auto"/>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and the Fair Market Value of any property other than cash, in each case actually received directly or indirectly by the Issuer or a Restricted Subsidiary of the Issuer that is a Guarantor after the Closing Date from an Unrestricted Subsidiary of the Issuer, in each case, to the extent that such dividends, cash distributions or other property were not otherwise included in the Consolidated Net Income of the Issuer for such period and other than to the extent such Investment constituted a Permitted Investment; </w:t>
      </w:r>
      <w:r>
        <w:rPr>
          <w:rFonts w:ascii="Arial" w:cs="Arial" w:eastAsia="Arial" w:hAnsi="Arial"/>
          <w:sz w:val="18"/>
          <w:szCs w:val="18"/>
          <w:i w:val="1"/>
          <w:iCs w:val="1"/>
          <w:color w:val="auto"/>
        </w:rPr>
        <w:t>minus</w:t>
      </w:r>
    </w:p>
    <w:p>
      <w:pPr>
        <w:spacing w:after="0" w:line="86" w:lineRule="exact"/>
        <w:rPr>
          <w:rFonts w:ascii="Arial" w:cs="Arial" w:eastAsia="Arial" w:hAnsi="Arial"/>
          <w:sz w:val="18"/>
          <w:szCs w:val="18"/>
          <w:color w:val="auto"/>
        </w:rPr>
      </w:pPr>
    </w:p>
    <w:p>
      <w:pPr>
        <w:ind w:left="1720" w:right="319" w:hanging="348"/>
        <w:spacing w:after="0" w:line="259" w:lineRule="auto"/>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aggregate amount of any Net Equity Proceeds taken into account for purposes of incurring Indebtedness pursuant to clause (14) the definition of “Permitted Debt” set forth below under the caption “—Incurrence of Indebtedness and Issuance of Disqualified Stock and Preferred Stock,” after the Closing Date;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left="1720" w:right="439" w:hanging="348"/>
        <w:spacing w:after="0" w:line="291" w:lineRule="auto"/>
        <w:tabs>
          <w:tab w:leader="none" w:pos="1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amount that would be calculated immediately prior to the consummation of the Merger on the Closing Date pursuant to clause (3) of the second paragraph of Section 4.07(a) of the September 2010 Senior Notes Indenture, as in effect immediately prior to the effectiveness of the December 2012 Sixth Supplemental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calculation of cumulative Consolidated Cash Flow and Consolidated Interest Expense in subclause (A) of such clause (3) shall include (x) the Issuer’s last fiscal quarter ending prior to the Closing Date, and (y) the period from the beginning of the Issuer’s fiscal quarter during which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40" w:right="559"/>
        <w:spacing w:after="0" w:line="286" w:lineRule="auto"/>
        <w:rPr>
          <w:sz w:val="20"/>
          <w:szCs w:val="20"/>
          <w:color w:val="auto"/>
        </w:rPr>
      </w:pPr>
      <w:r>
        <w:rPr>
          <w:rFonts w:ascii="Arial" w:cs="Arial" w:eastAsia="Arial" w:hAnsi="Arial"/>
          <w:sz w:val="17"/>
          <w:szCs w:val="17"/>
          <w:color w:val="auto"/>
        </w:rPr>
        <w:t>Closing Date occurs to the Closing Date, in each case, if internal financial statements are available for such period at the time of calculation, even if they are not available immediately prior to the consummation of the Merger on the Closing Date).</w:t>
      </w:r>
    </w:p>
    <w:p>
      <w:pPr>
        <w:spacing w:after="0" w:line="57"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As of December 31, 2020, the amount calculated pursuant to clause (c)(i)-(vii) above, was approximately $113.6 billion.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preceding provisions will not prohibit:</w:t>
      </w:r>
    </w:p>
    <w:p>
      <w:pPr>
        <w:spacing w:after="0" w:line="117" w:lineRule="exact"/>
        <w:rPr>
          <w:sz w:val="20"/>
          <w:szCs w:val="20"/>
          <w:color w:val="auto"/>
        </w:rPr>
      </w:pPr>
    </w:p>
    <w:p>
      <w:pPr>
        <w:ind w:left="1000" w:right="359" w:hanging="348"/>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78" w:lineRule="exact"/>
        <w:rPr>
          <w:rFonts w:ascii="Arial" w:cs="Arial" w:eastAsia="Arial" w:hAnsi="Arial"/>
          <w:sz w:val="18"/>
          <w:szCs w:val="18"/>
          <w:color w:val="auto"/>
        </w:rPr>
      </w:pPr>
    </w:p>
    <w:p>
      <w:pPr>
        <w:ind w:left="1000" w:right="399" w:hanging="348"/>
        <w:spacing w:after="0" w:line="285"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out of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net cash proceeds that are utilized for any such Restricted Payment will be excluded from clause (c)(ii)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Net Equity Proceeds</w:t>
      </w:r>
    </w:p>
    <w:p>
      <w:pPr>
        <w:spacing w:after="0" w:line="1" w:lineRule="exact"/>
        <w:rPr>
          <w:rFonts w:ascii="Arial" w:cs="Arial" w:eastAsia="Arial" w:hAnsi="Arial"/>
          <w:sz w:val="16"/>
          <w:szCs w:val="16"/>
          <w:color w:val="auto"/>
        </w:rPr>
      </w:pPr>
    </w:p>
    <w:p>
      <w:pPr>
        <w:ind w:left="1000" w:right="359"/>
        <w:spacing w:after="0" w:line="295" w:lineRule="auto"/>
        <w:rPr>
          <w:rFonts w:ascii="Arial" w:cs="Arial" w:eastAsia="Arial" w:hAnsi="Arial"/>
          <w:sz w:val="16"/>
          <w:szCs w:val="16"/>
          <w:color w:val="auto"/>
        </w:rPr>
      </w:pPr>
      <w:r>
        <w:rPr>
          <w:rFonts w:ascii="Arial" w:cs="Arial" w:eastAsia="Arial" w:hAnsi="Arial"/>
          <w:sz w:val="16"/>
          <w:szCs w:val="16"/>
          <w:color w:val="auto"/>
        </w:rPr>
        <w:t>(x) used for making a Restricted Investment pursuant to clause (10) of this paragraph or (y) taken into account for purposes of incurring Indebtedness pursuant to clause (14) of the definition of “Permitted Debt” set forth below under the caption “—Incurrence of Indebtedness and Issuance of Disqualified Stock and Preferred Stock,” may not also be used to make a Restricted Payment pursuant to this clause (2);</w:t>
      </w:r>
    </w:p>
    <w:p>
      <w:pPr>
        <w:spacing w:after="0" w:line="53" w:lineRule="exact"/>
        <w:rPr>
          <w:rFonts w:ascii="Arial" w:cs="Arial" w:eastAsia="Arial" w:hAnsi="Arial"/>
          <w:sz w:val="16"/>
          <w:szCs w:val="16"/>
          <w:color w:val="auto"/>
        </w:rPr>
      </w:pPr>
    </w:p>
    <w:p>
      <w:pPr>
        <w:ind w:left="1000" w:right="63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of the Issuer or any Subsidiary Guarantor with the net cash proceeds from a substantially concurrent incurrence of Permitted Refinancing Indebtedness;</w:t>
      </w:r>
    </w:p>
    <w:p>
      <w:pPr>
        <w:spacing w:after="0" w:line="75"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payment of any dividend (or, in the case of any partnership or limited liability company, any similar distribution) by a Restricted Subsidiary of the Issuer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75" w:lineRule="exact"/>
        <w:rPr>
          <w:rFonts w:ascii="Arial" w:cs="Arial" w:eastAsia="Arial" w:hAnsi="Arial"/>
          <w:sz w:val="18"/>
          <w:szCs w:val="18"/>
          <w:color w:val="auto"/>
        </w:rPr>
      </w:pPr>
    </w:p>
    <w:p>
      <w:pPr>
        <w:ind w:left="1000" w:right="319" w:hanging="348"/>
        <w:spacing w:after="0" w:line="26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Equity Interests of Parent, the Issuer, any Restricted Subsidiary of the Issuer or any direct or indirect parent of the Issuer held by any current or former officer, director, employee or consultant of Parent, the Issuer or any of its Restricted Subsidiaries pursuant to any equity subscription agreement, stock option agreement, shareholders’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price paid for all such repurchased, redeemed, acquired or retired Equity Interests may not exceed an amount equal to $50.0 million in any fiscal year;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such amount in any fiscal year may be increased by an amount equal to (a)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cash proceeds contributed to the Issuer from the sale of Equity Interests of Parent to current or former members of management, directors, consultants or employees that occurs after the Closing Date plus (b) the net cash proceeds of key man life insurance policies received by Parent or its Restricted Subsidiaries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amount in any fiscal year shall be reduced by the amount of Indebtedness incurred in such fiscal year pursuant to clause (21) of the second paragraph of the covenant described below under the caption “—Incurrence of Indebtedness and Issuance of Disqualified Stock and Preferred Stock”;</w:t>
      </w:r>
    </w:p>
    <w:p>
      <w:pPr>
        <w:spacing w:after="0" w:line="76" w:lineRule="exact"/>
        <w:rPr>
          <w:rFonts w:ascii="Arial" w:cs="Arial" w:eastAsia="Arial" w:hAnsi="Arial"/>
          <w:sz w:val="17"/>
          <w:szCs w:val="17"/>
          <w:color w:val="auto"/>
        </w:rPr>
      </w:pPr>
    </w:p>
    <w:p>
      <w:pPr>
        <w:ind w:left="1000" w:right="339" w:hanging="348"/>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of Equity Interests deemed to occur upon the exercise or exchange of stock options, warrants or other similar rights to the extent such Equity Interests represent a portion of the exercise or exchange price of those stock options, warrants or other similar rights, and the repurchase, redemption or other acquisition or retirement of Equity Interests made in lieu of withholding taxes resulting from the vesting, exercise or exchange of stock options, warrants or other similar rights;</w:t>
      </w:r>
    </w:p>
    <w:p>
      <w:pPr>
        <w:spacing w:after="0" w:line="84" w:lineRule="exact"/>
        <w:rPr>
          <w:rFonts w:ascii="Arial" w:cs="Arial" w:eastAsia="Arial" w:hAnsi="Arial"/>
          <w:sz w:val="18"/>
          <w:szCs w:val="18"/>
          <w:color w:val="auto"/>
        </w:rPr>
      </w:pPr>
    </w:p>
    <w:p>
      <w:pPr>
        <w:ind w:left="1000" w:right="359" w:hanging="348"/>
        <w:spacing w:after="0" w:line="27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declaration and payment of regularly scheduled or accrued dividends to holders of any class or series of Disqualified Stock of the Issuer or any Restricted Subsidiary of the Issuer issued on or after the Closing Date in accordance with the Debt to Cash Flow Ratio test described below under the caption “— Incurrence of Indebtedness and Issuance of Disqualified Stock and Preferred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Permitted Payments to Parent;</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repurchase, redemption or other acquisition or retirement for value of any Equity Interests of Parent to the extent necessary to comply with law or to prevent the loss or secure the renewal or reinstatement of any FCC License held by the Issuer or any of its Subsidiaries;</w:t>
      </w:r>
    </w:p>
    <w:p>
      <w:pPr>
        <w:spacing w:after="0" w:line="75" w:lineRule="exact"/>
        <w:rPr>
          <w:rFonts w:ascii="Arial" w:cs="Arial" w:eastAsia="Arial" w:hAnsi="Arial"/>
          <w:sz w:val="18"/>
          <w:szCs w:val="18"/>
          <w:color w:val="auto"/>
        </w:rPr>
      </w:pPr>
    </w:p>
    <w:p>
      <w:pPr>
        <w:ind w:left="1000" w:right="419" w:hanging="348"/>
        <w:spacing w:after="0" w:line="275"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Restricted Investments in an amount equal to 100% of the aggregate amount of any Net Equity Proceeds, less the aggregate amount of any Net Equity Proceeds (x) used for making a Restricted Payment pursuant to clause (2) of this paragraph or (y) taken into account for purpose of incurring Indebtedness pursuant to clause (14) of the definition of “Permitted Debt” set forth below under the caption “—Incurrence of Indebtedness and Issuance of Disqualified Stock and Preferred Stock”;</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made to DT or its Subsidiaries from the proceeds of the Towers Transaction;</w:t>
      </w:r>
    </w:p>
    <w:p>
      <w:pPr>
        <w:spacing w:after="0" w:line="117" w:lineRule="exact"/>
        <w:rPr>
          <w:rFonts w:ascii="Arial" w:cs="Arial" w:eastAsia="Arial" w:hAnsi="Arial"/>
          <w:sz w:val="18"/>
          <w:szCs w:val="18"/>
          <w:color w:val="auto"/>
        </w:rPr>
      </w:pPr>
    </w:p>
    <w:p>
      <w:pPr>
        <w:ind w:left="1000" w:right="459" w:hanging="348"/>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Subordinated Indebtedness pursuant to the provisions similar to those described under the captions “—Repurchase at the Option of Holders—Change of Control Triggering Event” and “—Repurchase at the Option of Holders—Asset Sales”;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Notes tendered by the holders of the Notes in connection with a Change of Control Offer or Asset Sale Offer, as applicable, have been repurchased, redeemed or otherwise acquired for value;</w:t>
      </w:r>
    </w:p>
    <w:p>
      <w:pPr>
        <w:spacing w:after="0" w:line="84"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Payments in connection with the Cash Payment, as defined in the Business Combination Agreement;</w:t>
      </w:r>
    </w:p>
    <w:p>
      <w:pPr>
        <w:spacing w:after="0" w:line="62" w:lineRule="exact"/>
        <w:rPr>
          <w:rFonts w:ascii="Arial" w:cs="Arial" w:eastAsia="Arial" w:hAnsi="Arial"/>
          <w:sz w:val="18"/>
          <w:szCs w:val="18"/>
          <w:color w:val="auto"/>
        </w:rPr>
      </w:pPr>
    </w:p>
    <w:p>
      <w:pPr>
        <w:ind w:left="1000" w:right="359" w:hanging="348"/>
        <w:spacing w:after="0" w:line="27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making of cash payments in connection with any conversion of Convertible Debt in an aggregate amount since the Closing Date not to exceed the sum of (a) the principal amount of such Convertible Debt plus (b) any payments received by the Issuer or any of its Restricted Subsidiaries pursuant to the exercise, settlement or termination of any related Permitted Bond Hedge Transactions;</w:t>
      </w:r>
    </w:p>
    <w:p>
      <w:pPr>
        <w:spacing w:after="0" w:line="63" w:lineRule="exact"/>
        <w:rPr>
          <w:rFonts w:ascii="Arial" w:cs="Arial" w:eastAsia="Arial" w:hAnsi="Arial"/>
          <w:sz w:val="17"/>
          <w:szCs w:val="17"/>
          <w:color w:val="auto"/>
        </w:rPr>
      </w:pPr>
    </w:p>
    <w:p>
      <w:pPr>
        <w:ind w:left="1000" w:right="41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distribution, as a dividend or otherwise, of shares of Capital Stock of, or Indebtedness owed to the Issuer or a Restricted Subsidiary by, Unrestricted Subsidiaries (other than any Unrestricted Subsidiary whose principal assets consist of cash and Cash Equivalents to the extent such cash and Cash Equivalents were invested in a Permitted Investment);</w:t>
      </w:r>
    </w:p>
    <w:p>
      <w:pPr>
        <w:spacing w:after="0" w:line="78"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Restricted Payments in an aggregate amount since the Closing Date not to exceed the greater of (x) $1,600.0 million or (y) 6.0% of the Consolidated Cash Flow of the Issuer;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Restricted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Debt to Cash Flow Ratio calculated on a pro forma basis in the manner described in the definition of “Debt to Cash Flow Ratio” after giving effect to such Restricted Payment would be equal to or less than 3.00 to 1.00;</w:t>
      </w:r>
    </w:p>
    <w:p>
      <w:pPr>
        <w:spacing w:after="0" w:line="76" w:lineRule="exact"/>
        <w:rPr>
          <w:sz w:val="20"/>
          <w:szCs w:val="20"/>
          <w:color w:val="auto"/>
        </w:rPr>
      </w:pPr>
    </w:p>
    <w:p>
      <w:pPr>
        <w:ind w:left="300" w:right="739" w:firstLine="36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at the time of, and after giving effect to, any Restricted Payment permitted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clauses (16) or (17), no Default or Event of Default has occurred and is continuing or would be caused thereby.</w:t>
      </w:r>
    </w:p>
    <w:p>
      <w:pPr>
        <w:spacing w:after="0" w:line="16" w:lineRule="exact"/>
        <w:rPr>
          <w:sz w:val="20"/>
          <w:szCs w:val="20"/>
          <w:color w:val="auto"/>
        </w:rPr>
      </w:pPr>
    </w:p>
    <w:p>
      <w:pPr>
        <w:ind w:left="300" w:right="939" w:firstLine="360"/>
        <w:spacing w:after="0" w:line="291" w:lineRule="auto"/>
        <w:rPr>
          <w:sz w:val="20"/>
          <w:szCs w:val="20"/>
          <w:color w:val="auto"/>
        </w:rPr>
      </w:pPr>
      <w:r>
        <w:rPr>
          <w:rFonts w:ascii="Arial" w:cs="Arial" w:eastAsia="Arial" w:hAnsi="Arial"/>
          <w:sz w:val="16"/>
          <w:szCs w:val="16"/>
          <w:color w:val="auto"/>
        </w:rPr>
        <w:t>For purposes of determining compliance with this “Restricted Payments” covenant, in the event that an Investment or Restricted Payment meets the criteria of more than one of the categories described in clauses</w:t>
      </w:r>
    </w:p>
    <w:p>
      <w:pPr>
        <w:ind w:left="300" w:right="299" w:hanging="8"/>
        <w:spacing w:after="0" w:line="253" w:lineRule="auto"/>
        <w:tabs>
          <w:tab w:leader="none" w:pos="5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(17) above or one or more of the exceptions contained in the definition of “Permitted Investments”, the Issuer will be permitted to classify all or a portion of such Investment or Restricted Payment on the date of its occurrence, or later reclassify all or a portion of such Investment or Restricted Payment, in any manner that complies with this covenant.</w:t>
      </w:r>
    </w:p>
    <w:p>
      <w:pPr>
        <w:spacing w:after="0" w:line="85"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amount of all Restricted Payments (other than cash) will be the Fair Market Value on the date of the Restricted Payment of the asset(s) or securities proposed to be transferred or issued by the Issuer or such Restricted Subsidiary, as the case may be, pursuant to the Restricted Payment.</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 and Preferred Stock</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the Issuer will not issue any Disqualified Stock and will not permit any of its Restricted Subsidiaries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may incur Indebtedness (including Acquired Debt) or issue Disqualified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72" w:lineRule="auto"/>
        <w:rPr>
          <w:sz w:val="20"/>
          <w:szCs w:val="20"/>
          <w:color w:val="auto"/>
        </w:rPr>
      </w:pPr>
      <w:r>
        <w:rPr>
          <w:rFonts w:ascii="Arial" w:cs="Arial" w:eastAsia="Arial" w:hAnsi="Arial"/>
          <w:sz w:val="17"/>
          <w:szCs w:val="17"/>
          <w:color w:val="auto"/>
        </w:rPr>
        <w:t>and the Subsidiary Guarantors may incur Indebtedness (including Acquired Debt) or issue Preferred Stock, if the Debt to Cash Flow Ratio for the Issuer’s most recently ended four full fiscal quarters for which internal financial statements are available immediately preceding the date on which such additional Indebtedness is incurred or such Disqualified Stock or such Preferred Stock is issued, as the case may be, would have been no greater than 6.00 to 1.00,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69" w:lineRule="exact"/>
        <w:rPr>
          <w:sz w:val="20"/>
          <w:szCs w:val="20"/>
          <w:color w:val="auto"/>
        </w:rPr>
      </w:pPr>
    </w:p>
    <w:p>
      <w:pPr>
        <w:ind w:left="300" w:right="699" w:firstLine="360"/>
        <w:spacing w:after="0" w:line="311" w:lineRule="auto"/>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 nor will it prohibit the Issuer from issuing the following types of Disqualified Stock or the Issuer’s Restricted Subsidiaries from issuing the following types of Preferred Stock:</w:t>
      </w:r>
    </w:p>
    <w:p>
      <w:pPr>
        <w:spacing w:after="0" w:line="41" w:lineRule="exact"/>
        <w:rPr>
          <w:sz w:val="20"/>
          <w:szCs w:val="20"/>
          <w:color w:val="auto"/>
        </w:rPr>
      </w:pPr>
    </w:p>
    <w:p>
      <w:pPr>
        <w:ind w:left="1000" w:right="699" w:hanging="348"/>
        <w:spacing w:after="0" w:line="29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incurrence by the Issuer and any Subsidiary Guarantor of additional Specified Indebtedness under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giving effect to such incurrence, the aggregate principal amount</w:t>
      </w:r>
    </w:p>
    <w:p>
      <w:pPr>
        <w:ind w:left="1000" w:right="339"/>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(with letters of credit being deemed to have a principal amount equal to the maximum potential liability of the Issuer and its Restricted Subsidiaries thereunder) of all Specified Indebtedness under Credit Facilities then outstanding under this paragraph (1) does not exceed the sum of (A) $8.0 billion, plus (B)(i) the greater of (x) $22.0 billion and (y) 1.00x Specified Consolidated Cash Flow, plus (ii) an unlimited amount, so long as on a Pro Forma Basis (and calculated (x) as if any incremental revolving facility were fully drawn on the effective date thereof and (y) excluding any cash constituting proceeds of any Credit Facility), with respect to any Credit Facility that constitutes First Lien Obligations, the First Lien Debt to Cash Flow Ratio does not exceed 2.00 to 1.00 (or, if incurred in connection with a Permitted Acquisition or other Specified Investment, the First Lien Debt to Cash Flow Ratio would not exceed the First Lien Debt to Cash Flow Ratio immediately prior to such Permitted Acquisition or other Specified Investment);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Credit Facilities will be deemed to be incurred under the foregoing clause (ii) before clause</w:t>
      </w:r>
      <w:r>
        <w:rPr>
          <w:rFonts w:ascii="Arial" w:cs="Arial" w:eastAsia="Arial" w:hAnsi="Arial"/>
          <w:sz w:val="17"/>
          <w:szCs w:val="17"/>
          <w:i w:val="1"/>
          <w:iCs w:val="1"/>
          <w:color w:val="auto"/>
        </w:rPr>
        <w:t xml:space="preserve"> </w:t>
      </w:r>
      <w:r>
        <w:rPr>
          <w:rFonts w:ascii="Arial" w:cs="Arial" w:eastAsia="Arial" w:hAnsi="Arial"/>
          <w:sz w:val="17"/>
          <w:szCs w:val="17"/>
          <w:color w:val="auto"/>
        </w:rPr>
        <w:t>(i), and to the extent amounts are incurred concurrently under the foregoing clauses (i) and (ii), the applicable ratio may exceed the applicable ratio level set forth in clause (ii) to the extent of such amounts incurred in reliance under clause (i);</w:t>
      </w:r>
    </w:p>
    <w:p>
      <w:pPr>
        <w:spacing w:after="0" w:line="73" w:lineRule="exact"/>
        <w:rPr>
          <w:rFonts w:ascii="Arial" w:cs="Arial" w:eastAsia="Arial" w:hAnsi="Arial"/>
          <w:sz w:val="16"/>
          <w:szCs w:val="16"/>
          <w:color w:val="auto"/>
        </w:rPr>
      </w:pPr>
    </w:p>
    <w:p>
      <w:pPr>
        <w:ind w:left="1000" w:right="6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incurrence by the Issuer and its Restricted Subsidiaries of any Existing Indebtedness or any Series Issue Date Existing Indebtedness;</w:t>
      </w:r>
    </w:p>
    <w:p>
      <w:pPr>
        <w:spacing w:after="0" w:line="62" w:lineRule="exact"/>
        <w:rPr>
          <w:rFonts w:ascii="Arial" w:cs="Arial" w:eastAsia="Arial" w:hAnsi="Arial"/>
          <w:sz w:val="18"/>
          <w:szCs w:val="18"/>
          <w:color w:val="auto"/>
        </w:rPr>
      </w:pPr>
    </w:p>
    <w:p>
      <w:pPr>
        <w:ind w:left="1000" w:right="399" w:hanging="348"/>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incurrence by the Issuer and the Subsidiary Guarantors of Indebtedness represented by the Notes to be issued on the date of the Supplemental Indentures and the related Note Guarantees;</w:t>
      </w:r>
    </w:p>
    <w:p>
      <w:pPr>
        <w:spacing w:after="0" w:line="38" w:lineRule="exact"/>
        <w:rPr>
          <w:rFonts w:ascii="Arial" w:cs="Arial" w:eastAsia="Arial" w:hAnsi="Arial"/>
          <w:sz w:val="17"/>
          <w:szCs w:val="17"/>
          <w:color w:val="auto"/>
        </w:rPr>
      </w:pPr>
    </w:p>
    <w:p>
      <w:pPr>
        <w:ind w:left="1000" w:right="319" w:hanging="348"/>
        <w:spacing w:after="0" w:line="25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any of its Restricted Subsidiaries, in an aggregate principal amount at any time outstanding, including all Permitted Refinancing Indebtedness incurred to renew, refund, refinance, replace, defease or discharge any Indebtedness incurred pursuant to this clause (4);</w:t>
      </w:r>
    </w:p>
    <w:p>
      <w:pPr>
        <w:spacing w:after="0" w:line="83" w:lineRule="exact"/>
        <w:rPr>
          <w:rFonts w:ascii="Arial" w:cs="Arial" w:eastAsia="Arial" w:hAnsi="Arial"/>
          <w:sz w:val="18"/>
          <w:szCs w:val="18"/>
          <w:color w:val="auto"/>
        </w:rPr>
      </w:pPr>
    </w:p>
    <w:p>
      <w:pPr>
        <w:ind w:left="1000" w:right="359" w:hanging="348"/>
        <w:spacing w:after="0" w:line="25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(2), (3), (4), (5), (13), (14), (15), (24) or (25) of this paragraph;</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incurrence by the Issuer or any of its Restricted Subsidiaries of intercompany Indebtedness between or among Parent, the Issuer and any of its Restricted Subsidiaries and any Guarantors;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76" w:lineRule="exact"/>
        <w:rPr>
          <w:sz w:val="20"/>
          <w:szCs w:val="20"/>
          <w:color w:val="auto"/>
        </w:rPr>
      </w:pPr>
    </w:p>
    <w:p>
      <w:pPr>
        <w:ind w:left="1360" w:right="399" w:hanging="348"/>
        <w:spacing w:after="0" w:line="259" w:lineRule="auto"/>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Issuer or any Subsidiary Guarantor is the obligor on such Indebtedness and the payee is not the Issuer or a Guarantor, such Indebtedness must be expressly subordinated to the prior payment in full in cash of all Obligations then due with respect to the Notes, in the case of the Issuer, or the Note Guarantee, in the case of a Subsidiary Guarantor;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399" w:hanging="348"/>
        <w:spacing w:after="0" w:line="273" w:lineRule="auto"/>
        <w:tabs>
          <w:tab w:leader="none" w:pos="13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 any subsequent issuance or transfer of Equity Interests that results in any such Indebtedness being held by a Person other than Parent, the Issuer or a Restricted Subsidiary of the Issuer, or a Guarantor and (ii) any sale or other transfer of any such Indebtedness to a Person that is not either Parent, the Issuer or a Restricted Subsidiary of the Issuer, or a Guarantor, will be deemed, in each case, to constitute an incurrence of such Indebtedness by the Issuer or such Restricted Subsidiary, as the case may be, that was not permitted by this clause (6);</w:t>
      </w:r>
    </w:p>
    <w:p>
      <w:pPr>
        <w:spacing w:after="0" w:line="69" w:lineRule="exact"/>
        <w:rPr>
          <w:rFonts w:ascii="Arial" w:cs="Arial" w:eastAsia="Arial" w:hAnsi="Arial"/>
          <w:sz w:val="17"/>
          <w:szCs w:val="17"/>
          <w:color w:val="auto"/>
        </w:rPr>
      </w:pPr>
    </w:p>
    <w:p>
      <w:pPr>
        <w:ind w:left="1000" w:right="105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issuance by any of the Issuer’s Restricted Subsidiaries to the Issuer or to any of its Restricted Subsidiaries of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jc w:val="both"/>
        <w:ind w:left="1360" w:right="419" w:hanging="348"/>
        <w:spacing w:after="0" w:line="263" w:lineRule="auto"/>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Parent, the Issuer or a Restricted Subsidiary of the Issuer or a Guarantor; and</w:t>
      </w:r>
    </w:p>
    <w:p>
      <w:pPr>
        <w:spacing w:after="0" w:line="75" w:lineRule="exact"/>
        <w:rPr>
          <w:rFonts w:ascii="Arial" w:cs="Arial" w:eastAsia="Arial" w:hAnsi="Arial"/>
          <w:sz w:val="18"/>
          <w:szCs w:val="18"/>
          <w:color w:val="auto"/>
        </w:rPr>
      </w:pPr>
    </w:p>
    <w:p>
      <w:pPr>
        <w:ind w:left="1360" w:right="399" w:hanging="348"/>
        <w:spacing w:after="0" w:line="287" w:lineRule="auto"/>
        <w:tabs>
          <w:tab w:leader="none" w:pos="13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sale or other transfer of any such Preferred Stock to a Person that is not either Parent, the Issuer or a Restricted Subsidiary of the Issuer, or a Guarantor, will be deemed, in each case, to constitute an issuance of such Preferred Stock by such Restricted Subsidiary that was not permitted by this clause</w:t>
      </w:r>
    </w:p>
    <w:p>
      <w:pPr>
        <w:spacing w:after="0" w:line="2"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102"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Hedging Obligations (other than for speculative purposes);</w:t>
      </w:r>
    </w:p>
    <w:p>
      <w:pPr>
        <w:spacing w:after="0" w:line="62" w:lineRule="exact"/>
        <w:rPr>
          <w:rFonts w:ascii="Arial" w:cs="Arial" w:eastAsia="Arial" w:hAnsi="Arial"/>
          <w:sz w:val="18"/>
          <w:szCs w:val="18"/>
          <w:color w:val="auto"/>
        </w:rPr>
      </w:pPr>
    </w:p>
    <w:p>
      <w:pPr>
        <w:ind w:left="1000" w:right="299" w:hanging="348"/>
        <w:spacing w:after="0" w:line="25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guarantee by the Issuer or any of the Subsidiary Guarantors of Indebtedness of the Issuer or a Restricted Subsidiary of the Issuer that was permitted to be incurred by another provision of this covenant;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Indebtedness being guaranteed is subordinated to or</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with the Notes,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9" w:lineRule="exact"/>
        <w:rPr>
          <w:rFonts w:ascii="Arial" w:cs="Arial" w:eastAsia="Arial" w:hAnsi="Arial"/>
          <w:sz w:val="18"/>
          <w:szCs w:val="18"/>
          <w:color w:val="auto"/>
        </w:rPr>
      </w:pPr>
    </w:p>
    <w:p>
      <w:pPr>
        <w:ind w:left="1000" w:right="539" w:hanging="348"/>
        <w:spacing w:after="0" w:line="296"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in respect of workers’ compensation claims, self-insurance obligations, bankers’ acceptances, deposits, performance bonds, completion bonds, bid bonds, appeal bonds and surety bonds, indemnity bonds, specific performance or injunctive relief bonds or similar bonds or obligations in the ordinary course of business, and any Guarantees or letters of credit functioning as or supporting any of the foregoing;</w:t>
      </w:r>
    </w:p>
    <w:p>
      <w:pPr>
        <w:spacing w:after="0" w:line="53" w:lineRule="exact"/>
        <w:rPr>
          <w:rFonts w:ascii="Arial" w:cs="Arial" w:eastAsia="Arial" w:hAnsi="Arial"/>
          <w:sz w:val="16"/>
          <w:szCs w:val="16"/>
          <w:color w:val="auto"/>
        </w:rPr>
      </w:pPr>
    </w:p>
    <w:p>
      <w:pPr>
        <w:ind w:left="1000" w:right="359" w:hanging="348"/>
        <w:spacing w:after="0" w:line="269"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incurrence by the Issuer or any of its Restricted Subsidiaries of Indebtedness arising from (a) the honoring by a bank or other financial institution of a check, draft or similar instrument drawn against insufficient funds, so long as such Indebtedness is covered within five Business Days of notice to the Issuer or any of its Restricted Subsidiaries, (b) in respect of netting, overdraft protection and other arrangement arising under standard business terms of any bank at which the Issuer or any Restricted Subsidiary maintains an overdraft, cash pooling or other similar facility or arrangement or (c) in respect of the financing of insurance premiums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principal amount of Indebtedness incurred pursuant to clauses (11)(b) and (c) shall not, at any time outstanding, exceed the greater of (x) $1,350.0 million and (y) 5.0% of the Consolidated Cash Flow of the Issuer as of the time of such incurrence;</w:t>
      </w:r>
    </w:p>
    <w:p>
      <w:pPr>
        <w:spacing w:after="0" w:line="77" w:lineRule="exact"/>
        <w:rPr>
          <w:rFonts w:ascii="Arial" w:cs="Arial" w:eastAsia="Arial" w:hAnsi="Arial"/>
          <w:sz w:val="17"/>
          <w:szCs w:val="17"/>
          <w:color w:val="auto"/>
        </w:rPr>
      </w:pPr>
    </w:p>
    <w:p>
      <w:pPr>
        <w:ind w:left="1000" w:right="619" w:hanging="348"/>
        <w:spacing w:after="0" w:line="30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incurrence by the Issuer or any of its Restricted Subsidiaries of Indebtedness in respect of letters of credit required to be issued in connection with any Permitted Joint Venture Investment;</w:t>
      </w:r>
    </w:p>
    <w:p>
      <w:pPr>
        <w:spacing w:after="0" w:line="38" w:lineRule="exact"/>
        <w:rPr>
          <w:rFonts w:ascii="Arial" w:cs="Arial" w:eastAsia="Arial" w:hAnsi="Arial"/>
          <w:sz w:val="17"/>
          <w:szCs w:val="17"/>
          <w:color w:val="auto"/>
        </w:rPr>
      </w:pPr>
    </w:p>
    <w:p>
      <w:pPr>
        <w:ind w:left="1000" w:right="399" w:hanging="348"/>
        <w:spacing w:after="0" w:line="293"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for relocation or clearing obligations relating to the Issuer’s or any of its Restricted Subsidiary’s FCC Licenses in an aggregate principal amount (or accreted value, as applicable), including all Permitted Refinancing Indebtedness incurred to renew, refund, refinance, replace, defease or discharge any Indebtedness incurred pursuant to this clause (13), at any time outstanding not to exceed the greater of (x) $1,900.0 million and (y) 1.0% of the Issuer’s Consolidated Total Assets as of the time of such incurrence;</w:t>
      </w:r>
    </w:p>
    <w:p>
      <w:pPr>
        <w:spacing w:after="0" w:line="56" w:lineRule="exact"/>
        <w:rPr>
          <w:rFonts w:ascii="Arial" w:cs="Arial" w:eastAsia="Arial" w:hAnsi="Arial"/>
          <w:sz w:val="16"/>
          <w:szCs w:val="16"/>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incurrence by the Issuer or any of its Restricted Subsidiaries of Contribution Indebtedness;</w:t>
      </w:r>
    </w:p>
    <w:p>
      <w:pPr>
        <w:spacing w:after="0" w:line="117" w:lineRule="exact"/>
        <w:rPr>
          <w:rFonts w:ascii="Arial" w:cs="Arial" w:eastAsia="Arial" w:hAnsi="Arial"/>
          <w:sz w:val="18"/>
          <w:szCs w:val="18"/>
          <w:color w:val="auto"/>
        </w:rPr>
      </w:pPr>
    </w:p>
    <w:p>
      <w:pPr>
        <w:ind w:left="1000" w:right="339" w:hanging="348"/>
        <w:spacing w:after="0" w:line="31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incurrence by the Issuer or any of its Restricted Subsidiaries of Indebtedness (including Acquired Debt or Indebtedness) used to finance an acquisition of or a merger with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or the Person formed by or surviving any such consolidation or merger (if other than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39"/>
        <w:spacing w:after="0" w:line="255" w:lineRule="auto"/>
        <w:rPr>
          <w:sz w:val="20"/>
          <w:szCs w:val="20"/>
          <w:color w:val="auto"/>
        </w:rPr>
      </w:pPr>
      <w:r>
        <w:rPr>
          <w:rFonts w:ascii="Arial" w:cs="Arial" w:eastAsia="Arial" w:hAnsi="Arial"/>
          <w:sz w:val="18"/>
          <w:szCs w:val="18"/>
          <w:color w:val="auto"/>
        </w:rPr>
        <w:t>Issuer or a Restricted Subsidiary), on the date of such transaction after giving pro forma effect thereto and any related financing transactions as if the same had occurred at the beginning of the applicable four-quarter period, would either (a) be permitted to incur at least $1.00 of additional Indebtedness pursuant to the Debt to Cash Flow Ratio test set forth in the first paragraph of this covenant or (b) have a Debt to Cash Flow Ratio no greater than the Debt to Cash Flow Ratio of the Issuer immediately prior to such transaction;</w:t>
      </w:r>
    </w:p>
    <w:p>
      <w:pPr>
        <w:spacing w:after="0" w:line="84" w:lineRule="exact"/>
        <w:rPr>
          <w:sz w:val="20"/>
          <w:szCs w:val="20"/>
          <w:color w:val="auto"/>
        </w:rPr>
      </w:pPr>
    </w:p>
    <w:p>
      <w:pPr>
        <w:ind w:left="1000" w:right="339" w:hanging="348"/>
        <w:spacing w:after="0" w:line="290"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by the Issuer or any of its Restricted Subsidiaries of Indebtedness arising from agreements providing for indemnification, adjustment of purchase price or similar obligations, or Guarantees or letters of credit, surety bonds or performance bonds securing any obligations of the Issuer or any of its Restricted 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so long as the amount does not exceed the gross proceeds actually received by the Issuer or any Restricted Subsidiary thereof in connection with such disposition;</w:t>
      </w:r>
    </w:p>
    <w:p>
      <w:pPr>
        <w:spacing w:after="0" w:line="57" w:lineRule="exact"/>
        <w:rPr>
          <w:rFonts w:ascii="Arial" w:cs="Arial" w:eastAsia="Arial" w:hAnsi="Arial"/>
          <w:sz w:val="16"/>
          <w:szCs w:val="16"/>
          <w:color w:val="auto"/>
        </w:rPr>
      </w:pPr>
    </w:p>
    <w:p>
      <w:pPr>
        <w:ind w:left="1000" w:right="519" w:hanging="348"/>
        <w:spacing w:after="0" w:line="259"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incurrence by the Issuer or any Restricted Subsidiary of Indebtedness constituting reimbursement obligations with respect to letters of credit issued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drawing of such letters of credit, such obligations are reimbursed within 30 days following such drawing;</w:t>
      </w:r>
    </w:p>
    <w:p>
      <w:pPr>
        <w:spacing w:after="0" w:line="78" w:lineRule="exact"/>
        <w:rPr>
          <w:rFonts w:ascii="Arial" w:cs="Arial" w:eastAsia="Arial" w:hAnsi="Arial"/>
          <w:sz w:val="18"/>
          <w:szCs w:val="18"/>
          <w:color w:val="auto"/>
        </w:rPr>
      </w:pPr>
    </w:p>
    <w:p>
      <w:pPr>
        <w:ind w:left="1000" w:right="979" w:hanging="348"/>
        <w:spacing w:after="0" w:line="342"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by the Issuer or any Restricted Subsidiary of Indebtedness to the extent that the net proceeds thereof are promptly deposited to defease or to satisfy and discharge the Notes;</w:t>
      </w:r>
    </w:p>
    <w:p>
      <w:pPr>
        <w:spacing w:after="0" w:line="15" w:lineRule="exact"/>
        <w:rPr>
          <w:rFonts w:ascii="Arial" w:cs="Arial" w:eastAsia="Arial" w:hAnsi="Arial"/>
          <w:sz w:val="16"/>
          <w:szCs w:val="16"/>
          <w:color w:val="auto"/>
        </w:rPr>
      </w:pPr>
    </w:p>
    <w:p>
      <w:pPr>
        <w:ind w:left="1000" w:right="319" w:hanging="348"/>
        <w:spacing w:after="0" w:line="286"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by the Issuer or any of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(19), not to exceed the greater of (x) $3.8 billion and (y)</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2.0% of the Issuer’s Consolidated Total Assets as of the time of such incurrence;</w:t>
      </w:r>
    </w:p>
    <w:p>
      <w:pPr>
        <w:spacing w:after="0" w:line="102" w:lineRule="exact"/>
        <w:rPr>
          <w:rFonts w:ascii="Arial" w:cs="Arial" w:eastAsia="Arial" w:hAnsi="Arial"/>
          <w:sz w:val="16"/>
          <w:szCs w:val="16"/>
          <w:color w:val="auto"/>
        </w:rPr>
      </w:pPr>
    </w:p>
    <w:p>
      <w:pPr>
        <w:ind w:left="1000" w:right="839" w:hanging="348"/>
        <w:spacing w:after="0" w:line="30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incurrence by the Issuer or any Restricted Subsidiary of Indebtedness arising in connection with endorsement of instruments for deposit in the ordinary course of business;</w:t>
      </w:r>
    </w:p>
    <w:p>
      <w:pPr>
        <w:spacing w:after="0" w:line="38" w:lineRule="exact"/>
        <w:rPr>
          <w:rFonts w:ascii="Arial" w:cs="Arial" w:eastAsia="Arial" w:hAnsi="Arial"/>
          <w:sz w:val="17"/>
          <w:szCs w:val="17"/>
          <w:color w:val="auto"/>
        </w:rPr>
      </w:pPr>
    </w:p>
    <w:p>
      <w:pPr>
        <w:ind w:left="1000" w:right="339" w:hanging="348"/>
        <w:spacing w:after="0" w:line="271"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incurrence by the Issuer or any Restricted Subsidiary of Indebtedness evidenced by promissory notes subordinated to the Notes and the Note Guarantees issued to current or former employees or directors of Parent, the Issuer or any Subsidiary (or their respective spouses or estates) in lieu of cash payments for Capital Stock being repurchased from such Persons, not to exceed, in any twelve-month period, an amount equal to the amount of Restricted Payments that could be made during such twelve-month period pursuant to clause (5) of the third paragraph under the covenant described above under the caption “—Restricted Payments,” less the amount of Restricted Payments that have been made during such twelve-month period pursuant to such clause;</w:t>
      </w:r>
    </w:p>
    <w:p>
      <w:pPr>
        <w:spacing w:after="0" w:line="70" w:lineRule="exact"/>
        <w:rPr>
          <w:rFonts w:ascii="Arial" w:cs="Arial" w:eastAsia="Arial" w:hAnsi="Arial"/>
          <w:sz w:val="17"/>
          <w:szCs w:val="17"/>
          <w:color w:val="auto"/>
        </w:rPr>
      </w:pPr>
    </w:p>
    <w:p>
      <w:pPr>
        <w:ind w:left="1000" w:right="919" w:hanging="348"/>
        <w:spacing w:after="0" w:line="342"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by the Issuer or any Restricted Subsidiary of Indebtedness consisting of take-or-pay obligations contained in supply agreements entered into in the ordinary course of business;</w:t>
      </w:r>
    </w:p>
    <w:p>
      <w:pPr>
        <w:spacing w:after="0" w:line="15"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that deposits with, or payments owed to, the FCC in connection with the auction or licensing of Governmental Authorizations are deemed to be Indebtedness, the incurrence by the Issuer or any Restricted Subsidiary of such Indebtedness;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incurred in connection with the Towers Transaction; and</w:t>
      </w:r>
    </w:p>
    <w:p>
      <w:pPr>
        <w:spacing w:after="0" w:line="117" w:lineRule="exact"/>
        <w:rPr>
          <w:rFonts w:ascii="Arial" w:cs="Arial" w:eastAsia="Arial" w:hAnsi="Arial"/>
          <w:sz w:val="18"/>
          <w:szCs w:val="18"/>
          <w:color w:val="auto"/>
        </w:rPr>
      </w:pPr>
    </w:p>
    <w:p>
      <w:pPr>
        <w:ind w:left="1000" w:right="339" w:hanging="348"/>
        <w:spacing w:after="0" w:line="271"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incurrence by Restricted Subsidiaries that are not Guarantors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aggregate principal amount (or accreted value, as applicable) of all Indebtedness incurred under this clause (25), when aggregated with the principal amount (or accreted value) of all other Indebtedness then outstanding and incurred pursuant to this clause (25), including all Permitted Refinancing Indebtedness incurred to renew, refund, refinance, replace, defease or discharge any Indebtedness incurred pursuant to this clause (25), does not exceed the greater of (x) $1,350.0 million and (y) 5.0% of the Consolidated Cash Flow of the Issuer and its Subsidiaries for the most recently ended four full fiscal quarters for which financial statements are available.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For purposes of (x) determining compliance with this “Incurrence of Indebtedness and Issuance of Disqualified Stock and Preferred Stock” covenant, in the event that an item of proposed Indebtedness meets the criteria of more than one of the categories of Permitted Debt described in clauses (1) through (25) above, or is entitled to be incurred pursuant to the first paragraph of this covenant, the Issuer will be permitted to classify all or a portion of such item of Indebtedness on the date of its incurrence, or later reclassify all or a portion of such item of Indebtedness, in any manner that complies with this covenant; and (y) determining the amount of Indebtedness that may be incurred pursuant to clause (1)(B)(ii) of the definition of Permitted Debt, the Issuer may elect, pursuant to an officers’ certificate delivered to the Trustee, to treat all or any portion of the commitment under any Indebtedness (and any refinancing with respect thereto) as being incurred at such time, in which case any subsequent incurrence of Indebtedness under such commitment or refinancing, as the case may be, shall not be deemed, for purposes of this calculation, to be an incurrence at such subsequent time.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or the application thereof,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the Issuer or any Restricted Subsidiary may incur pursuant to this covenant shall not be deemed to be exceeded solely as a result of fluctuations in exchange rates or currency values, and in no event shall the reclassification of any lease or other liability as indebtedness due to a change in accounting principles after the Closing Date be deemed to be an incurrence of Indebtedness. In determining the amount of Indebtedness outstanding under one of the clauses above, the outstanding principal amount of any particular Indebtedness of any Person shall be counted only once and any obligation of such Person or any other Person arising under any guarantee, Lien, letter of credit or similar instrument supporting such Indebtedness shall be disregarded so long as it is permitted to be incurred by the Person or Persons incurring such obligation.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Prior to the occurrence of an Investment Grade Event Election, the Issuer will not, and will not permit any Guarantor to, directly or indirectly, create, incur or assume any Lien securing Indebtedness upon any asset now owned or hereafter acquired, except Permitted Liens, unless the Notes are equally and ratably secured (except that Liens securing Indebtedness that is contractually subordinated to the Notes shall be expressly subordinate to any Lien securing the Notes to at least the same extent that such Indebtedness is subordinate to the Notes).</w:t>
      </w:r>
    </w:p>
    <w:p>
      <w:pPr>
        <w:spacing w:after="0" w:line="53"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Following the occurrence of an Investment Grade Event Election, the Issuer will not, and will not permit any Material Subsidiary to, directly or indirectly, create, incur or assume any Lien securing Indebtedness for Borrowed Money upon any of its or any Material Subsidiary’s Principal Property or upon Capital Stock or Specified Indebtedness of any Material Subsidiary that directly owns any Principal Property, except Permitted Post-IG Event Election Liens, unless the Notes are equally and ratably secured with (or, at the Issuer’s option, on a senior basis to) the Indebtedness for Borrowed Money so secured. Any Lien created for the benefit of the holders of the Notes pursuant to this paragraph is required to provide by its terms that such Lien shall be automatically and unconditionally released and discharged upon the release and discharge of the Lien that gave rise to such Lien created for the benefit of the holders of the Notes.</w:t>
      </w:r>
    </w:p>
    <w:p>
      <w:pPr>
        <w:spacing w:after="0" w:line="73"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For purposes of determining compliance with this “Liens” covenant, (x) a Lien need not be incurred solely by reference to one category of Permitted Liens or Permitted Post-IG Event Election Liens, as applicable, but may be incurred under any combination of such categories (including in part under one such category and in part under any other such category) and (y) in the event that a Lien (or any portion thereof) meets the criteria of one or more of such categories of Permitted Liens or Permitted Post-IG Event Election Liens, as applicable, the Issuer shall, in its sole discretion, divide, classify or may subsequently reclassify at any time such Lien (or any portion thereof) in any manner that complies with this “Liens” covenant and the definition of “Permitted Liens” or “Permitted Post-IG Event Election Liens,” as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117" w:lineRule="exact"/>
        <w:rPr>
          <w:sz w:val="20"/>
          <w:szCs w:val="20"/>
          <w:color w:val="auto"/>
        </w:rPr>
      </w:pPr>
    </w:p>
    <w:p>
      <w:pPr>
        <w:ind w:left="300" w:right="679" w:firstLine="360"/>
        <w:spacing w:after="0" w:line="263" w:lineRule="auto"/>
        <w:rPr>
          <w:sz w:val="20"/>
          <w:szCs w:val="20"/>
          <w:color w:val="auto"/>
        </w:rPr>
      </w:pPr>
      <w:r>
        <w:rPr>
          <w:rFonts w:ascii="Arial" w:cs="Arial" w:eastAsia="Arial" w:hAnsi="Arial"/>
          <w:sz w:val="18"/>
          <w:szCs w:val="18"/>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76" w:lineRule="exact"/>
        <w:rPr>
          <w:sz w:val="20"/>
          <w:szCs w:val="20"/>
          <w:color w:val="auto"/>
        </w:rPr>
      </w:pPr>
    </w:p>
    <w:p>
      <w:pPr>
        <w:ind w:left="1000" w:right="659" w:hanging="348"/>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the Issuer or any of its Restricted Subsidiaries, or pay any Indebtedness owed to the Issuer or any of its Restricted Subsidiaries;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loans or advances to the Issuer or any of its Restricted Subsidiaries;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sell, lease or transfer any of its properties or assets to the Issuer or any of its Restricted Subsidiaries.</w:t>
      </w:r>
    </w:p>
    <w:p>
      <w:pPr>
        <w:spacing w:after="0" w:line="12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However, the preceding restrictions will not apply to encumbrances or restrictions existing under or by reason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w:t>
      </w:r>
    </w:p>
    <w:p>
      <w:pPr>
        <w:spacing w:after="0" w:line="103" w:lineRule="exact"/>
        <w:rPr>
          <w:sz w:val="20"/>
          <w:szCs w:val="20"/>
          <w:color w:val="auto"/>
        </w:rPr>
      </w:pPr>
    </w:p>
    <w:p>
      <w:pPr>
        <w:ind w:left="1000" w:right="339" w:hanging="348"/>
        <w:spacing w:after="0" w:line="290"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agreements or instruments governing (a) Existing Indebtedness and (b) Equity Interests and Credit Facilities as in effect on the Closing Date and, in each case, any amendments, restatements, modifications, renewals, increases, supplements, refundings, replacements or refinancings of those agreements or instruments;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amendments, restatements, modifications, renewals, increases, supplements, refundings, replacements or refinancings are (in the good faith judgment of the Board of Directors of the Issuer or a senior financial officer of the Issuer, whose determination shall be conclusive) not materially more restrictive, taken as a whole, with respect to such dividend and other payment restrictions than those contained in those agreements or instruments on the Closing Date;</w:t>
      </w:r>
    </w:p>
    <w:p>
      <w:pPr>
        <w:spacing w:after="0" w:line="57" w:lineRule="exact"/>
        <w:rPr>
          <w:rFonts w:ascii="Arial" w:cs="Arial" w:eastAsia="Arial" w:hAnsi="Arial"/>
          <w:sz w:val="16"/>
          <w:szCs w:val="16"/>
          <w:color w:val="auto"/>
        </w:rPr>
      </w:pPr>
    </w:p>
    <w:p>
      <w:pPr>
        <w:ind w:left="1000" w:hanging="348"/>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agreements or instruments governing Credit Facilities not in effect on the Closing Date so long as either</w:t>
      </w:r>
    </w:p>
    <w:p>
      <w:pPr>
        <w:spacing w:after="0" w:line="46" w:lineRule="exact"/>
        <w:rPr>
          <w:rFonts w:ascii="Arial" w:cs="Arial" w:eastAsia="Arial" w:hAnsi="Arial"/>
          <w:sz w:val="16"/>
          <w:szCs w:val="16"/>
          <w:color w:val="auto"/>
        </w:rPr>
      </w:pPr>
    </w:p>
    <w:p>
      <w:pPr>
        <w:ind w:left="1000" w:right="339"/>
        <w:spacing w:after="0" w:line="271" w:lineRule="auto"/>
        <w:rPr>
          <w:rFonts w:ascii="Arial" w:cs="Arial" w:eastAsia="Arial" w:hAnsi="Arial"/>
          <w:sz w:val="16"/>
          <w:szCs w:val="16"/>
          <w:color w:val="auto"/>
        </w:rPr>
      </w:pPr>
      <w:r>
        <w:rPr>
          <w:rFonts w:ascii="Arial" w:cs="Arial" w:eastAsia="Arial" w:hAnsi="Arial"/>
          <w:sz w:val="17"/>
          <w:szCs w:val="17"/>
          <w:color w:val="auto"/>
        </w:rPr>
        <w:t>(a) the encumbrances and restrictions contained therein do not impair the ability of any Restricted Subsidiary of the Issuer to pay dividends or make any other distributions or payments directly or indirectly to the Issuer in an amount sufficient to permit the Issuer to pay the principal of, or interest and premium, if any, on the Notes, or (b) the encumbrances and restrictions contained therein are no more restrictive, taken as a whole, than those contained in the Indenture;</w:t>
      </w:r>
    </w:p>
    <w:p>
      <w:pPr>
        <w:spacing w:after="0" w:line="70"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Series Issue Date Existing Indebtedness, the Notes issued on the Series Issue Date, and any additional notes of the same series, the Note Guarantees in respect thereof, and the Base Indenture, as supplemented by the Supplemental Indenture;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117" w:lineRule="exact"/>
        <w:rPr>
          <w:rFonts w:ascii="Arial" w:cs="Arial" w:eastAsia="Arial" w:hAnsi="Arial"/>
          <w:sz w:val="18"/>
          <w:szCs w:val="18"/>
          <w:color w:val="auto"/>
        </w:rPr>
      </w:pPr>
    </w:p>
    <w:p>
      <w:pPr>
        <w:ind w:left="1000" w:right="359" w:hanging="348"/>
        <w:spacing w:after="0" w:line="269"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agreements or instruments with respect to a Person acquired by the Issuer or any of its Restricted Subsidiaries as in effect at the time of such acquisition (except to the extent such Indebtedness or Capital Stock was incurred in connection with or in contemplation of such acquisition) or as may be amended, restated, modified, renewed, extended, supplemented, refunded, replaced or refinanced from time to time (so long as the encumbrances and restrictions in any such amendment, restatement, modification, renewal, extension, supplement, refunding, replacement or refinancing are, in the good faith judgment of the Issuer’s Board of Directors or a senior financial officer of the Issuer, whose determination shall be conclusive, not materially more restrictive, taken as a whole, than those in effect on the date of the acquisition), which encumbrance or restriction is not applicable to any Person, or the properties or assets of any Person, other than the Person, or the property or assets of the Person, so acquired;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agreements or instruments governing Indebtedness, such Indebtedness was permitted by the terms of the Indenture to be incurred;</w:t>
      </w:r>
    </w:p>
    <w:p>
      <w:pPr>
        <w:spacing w:after="0" w:line="70" w:lineRule="exact"/>
        <w:rPr>
          <w:rFonts w:ascii="Arial" w:cs="Arial" w:eastAsia="Arial" w:hAnsi="Arial"/>
          <w:sz w:val="17"/>
          <w:szCs w:val="17"/>
          <w:color w:val="auto"/>
        </w:rPr>
      </w:pPr>
    </w:p>
    <w:p>
      <w:pPr>
        <w:ind w:left="1000" w:right="559" w:hanging="348"/>
        <w:spacing w:after="0" w:line="34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customary non-assignment provisions in contracts and licenses entered into in the ordinary course of business and customary contractual restrictions on transfers of all or substantially all assets of a Person;</w:t>
      </w:r>
    </w:p>
    <w:p>
      <w:pPr>
        <w:spacing w:after="0" w:line="15" w:lineRule="exact"/>
        <w:rPr>
          <w:rFonts w:ascii="Arial" w:cs="Arial" w:eastAsia="Arial" w:hAnsi="Arial"/>
          <w:sz w:val="16"/>
          <w:szCs w:val="16"/>
          <w:color w:val="auto"/>
        </w:rPr>
      </w:pPr>
    </w:p>
    <w:p>
      <w:pPr>
        <w:ind w:left="1000" w:right="37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instrument governing any secured Indebtedness or Financing Lease Obligation that imposes restrictions on the assets securing such Indebtedness or the subject of such lease of the nature described in clause (3) of the preceding paragraph;</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imposes restrictions of the nature described in clauses (1) and/or (3) of the preceding paragraph on the Restricted Subsidiary pending the sale or other disposition;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419" w:hanging="348"/>
        <w:spacing w:after="0" w:line="286"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Permitted Refinancing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57"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 Liens” that limit the right of the debtor to dispose of the assets subject to such Liens;</w:t>
      </w:r>
    </w:p>
    <w:p>
      <w:pPr>
        <w:spacing w:after="0" w:line="62" w:lineRule="exact"/>
        <w:rPr>
          <w:rFonts w:ascii="Arial" w:cs="Arial" w:eastAsia="Arial" w:hAnsi="Arial"/>
          <w:sz w:val="18"/>
          <w:szCs w:val="18"/>
          <w:color w:val="auto"/>
        </w:rPr>
      </w:pPr>
    </w:p>
    <w:p>
      <w:pPr>
        <w:jc w:val="both"/>
        <w:ind w:left="1000" w:right="659" w:hanging="348"/>
        <w:spacing w:after="0" w:line="340" w:lineRule="auto"/>
        <w:tabs>
          <w:tab w:leader="none" w:pos="10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provisions limiting the disposition or distribution of assets or property in partnership and joint venture agreements, asset sale agreements, sale-leaseback agreements, stock sale agreements and other similar agreements, which limitation is applicable only to the assets that are the subject of such agreements;</w:t>
      </w:r>
    </w:p>
    <w:p>
      <w:pPr>
        <w:spacing w:after="0" w:line="22" w:lineRule="exact"/>
        <w:rPr>
          <w:rFonts w:ascii="Arial" w:cs="Arial" w:eastAsia="Arial" w:hAnsi="Arial"/>
          <w:sz w:val="15"/>
          <w:szCs w:val="15"/>
          <w:color w:val="auto"/>
        </w:rPr>
      </w:pPr>
    </w:p>
    <w:p>
      <w:pPr>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or required by insurance, surety or bonding companies, in each case, under contracts entered into in the ordinary course of business;</w:t>
      </w:r>
    </w:p>
    <w:p>
      <w:pPr>
        <w:spacing w:after="0" w:line="75" w:lineRule="exact"/>
        <w:rPr>
          <w:rFonts w:ascii="Arial" w:cs="Arial" w:eastAsia="Arial" w:hAnsi="Arial"/>
          <w:sz w:val="18"/>
          <w:szCs w:val="18"/>
          <w:color w:val="auto"/>
        </w:rPr>
      </w:pPr>
    </w:p>
    <w:p>
      <w:pPr>
        <w:ind w:left="1000" w:right="359" w:hanging="348"/>
        <w:spacing w:after="0" w:line="255"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restrictions in other Indebtedness, Disqualified Stock or Preferred Stock incurred or issued in compliance with the covenant described under the caption “—Incurrence of Indebtedness and Issuance of Disqualified Stock and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restrictions, taken as a whole, are, in the good faith judgment of the Issuer’s Board of Directors or a senior financial officer of the Issuer, whose determination shall be conclusive, not materially more restrictive than those contained in the existing agreements referenced in clauses (1) and (3) above;</w:t>
      </w:r>
    </w:p>
    <w:p>
      <w:pPr>
        <w:spacing w:after="0" w:line="84" w:lineRule="exact"/>
        <w:rPr>
          <w:rFonts w:ascii="Arial" w:cs="Arial" w:eastAsia="Arial" w:hAnsi="Arial"/>
          <w:sz w:val="18"/>
          <w:szCs w:val="18"/>
          <w:color w:val="auto"/>
        </w:rPr>
      </w:pPr>
    </w:p>
    <w:p>
      <w:pPr>
        <w:ind w:left="1000" w:right="339" w:hanging="348"/>
        <w:spacing w:after="0" w:line="291"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issuance of Preferred Stock by a Restricted Subsidiary of the Issuer or the payment of dividends thereon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issuance of such Preferred Stock is permitted pursuant to the covenant described above under the caption “—Incurrence of Indebtedness and Issuance of Disqualified Stock and Preferred Stock” and the terms of such Preferred Stock do not expressly restrict the ability of such Restricted Subsidiary to pay dividends or make any other distributions on its Capital Stock (other than requirements to pay dividends or liquidation preferences on such Preferred Stock prior to paying any dividends or making any other distributions on such other Capital Stock);</w:t>
      </w:r>
    </w:p>
    <w:p>
      <w:pPr>
        <w:spacing w:after="0" w:line="58" w:lineRule="exact"/>
        <w:rPr>
          <w:rFonts w:ascii="Arial" w:cs="Arial" w:eastAsia="Arial" w:hAnsi="Arial"/>
          <w:sz w:val="16"/>
          <w:szCs w:val="16"/>
          <w:color w:val="auto"/>
        </w:rPr>
      </w:pPr>
    </w:p>
    <w:p>
      <w:pPr>
        <w:ind w:left="1000" w:right="339" w:hanging="348"/>
        <w:spacing w:after="0" w:line="271"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any agreement or instrument with respect to Indebtedness incurred, or Preferred Stock issued, by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restrictions contained in the agreements or instruments governing such Indebtedness or Preferred Stock (a) either (i) apply only in the event of a payment default or a default with respect to a financial covenant in such agreement or instrument or (ii) will not materially affect the Issuer’s ability to pay all principal, interest and premium, if any, on the Notes, as determined in good faith by the Issuer’s Board of Directors or a senior financial officer of the Issuer, whose determination shall be conclusive; and (b) are not materially more disadvantageous to the holders of the Notes than is customary in comparable financings;</w:t>
      </w:r>
    </w:p>
    <w:p>
      <w:pPr>
        <w:spacing w:after="0" w:line="70" w:lineRule="exact"/>
        <w:rPr>
          <w:rFonts w:ascii="Arial" w:cs="Arial" w:eastAsia="Arial" w:hAnsi="Arial"/>
          <w:sz w:val="17"/>
          <w:szCs w:val="17"/>
          <w:color w:val="auto"/>
        </w:rPr>
      </w:pPr>
    </w:p>
    <w:p>
      <w:pPr>
        <w:ind w:left="1000" w:right="339" w:hanging="348"/>
        <w:spacing w:after="0" w:line="271"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any agreement or instrument of the Issuer, Parent, MetroPCS Wireless, Inc., or any of MetroPCS Wireless, Inc.’s Subsidiaries existing prior to, or entered into or assumed by the Issuer or any of its Subsidiaries in connection with the Merger, in each case, as such agreements or instruments may be amended, restated, modified, renewed or replaced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amendments, restatements, modifications, renewals, and replacements are (in the good faith judgment of the Board of Directors of the Issuer or a senior financial officer of the Issuer, whose determination shall be conclusive) not materially more restrictive, taken as a whole, with respect to such encumbrances and restrictions than those agreements or instruments as in effect as of the Closing Date; and</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arising from the Towers Transaction.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300" w:right="479" w:firstLine="360"/>
        <w:spacing w:after="0" w:line="273" w:lineRule="auto"/>
        <w:rPr>
          <w:sz w:val="20"/>
          <w:szCs w:val="20"/>
          <w:color w:val="auto"/>
        </w:rPr>
      </w:pPr>
      <w:r>
        <w:rPr>
          <w:rFonts w:ascii="Arial" w:cs="Arial" w:eastAsia="Arial" w:hAnsi="Arial"/>
          <w:sz w:val="17"/>
          <w:szCs w:val="17"/>
          <w:color w:val="auto"/>
        </w:rPr>
        <w:t>The Issuer will not: (1) consolidate or merge with or into another Person (whether or not the Issuer is the surviving corporation); or (2) directly or indirectly sell, assign, lease, transfer, convey or otherwise dispose of (including, in each case, by way of division) all or substantially all of the properties and assets of the Issuer and its Restricted Subsidiaries taken as a whole (prior to the occurrence of an Investment Grade Event Election) or the Issuer and its Subsidiaries taken as a whole (following the occurrence of an Investment Grade Event Election), in one or more related transactions, to another Person, unless:</w:t>
      </w:r>
    </w:p>
    <w:p>
      <w:pPr>
        <w:spacing w:after="0" w:line="70" w:lineRule="exact"/>
        <w:rPr>
          <w:sz w:val="20"/>
          <w:szCs w:val="20"/>
          <w:color w:val="auto"/>
        </w:rPr>
      </w:pPr>
    </w:p>
    <w:p>
      <w:pPr>
        <w:ind w:left="1000" w:right="499" w:hanging="348"/>
        <w:spacing w:after="0" w:line="25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 (a) the Issuer is the surviving corporation; or (b) the Person formed by or surviving any such consolidation or merger (if other than the Issuer) or to which such sale, assignment, lease, transfer, conveyance or other disposition has been made is a corporation, limited liability company or partnership organized or existing under the laws of the United States, any state of the United States or the District of Columbia;</w:t>
      </w:r>
    </w:p>
    <w:p>
      <w:pPr>
        <w:spacing w:after="0" w:line="79"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Issuer) or the Person to which such sale, assignment, lease, transfer, conveyance or other disposition has been made expressly assumes, by a supplemental indenture, executed and delivered to the Trustee, the payment of the principal of and any premium and interest on the Notes and the performance or observance of every covenant of the Indenture on the part of the Issuer to be performed or observed;</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ind w:left="1000" w:right="319" w:hanging="348"/>
        <w:spacing w:after="0" w:line="290"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Issuer or the Person formed by or surviving any such consolidation or merger (if other than the Issuer), or to which such sale, assignment, lease, transfer, conveyance or other disposition has been made would, on the date of such transaction after giving pro forma effect thereto and any related financing transactions as if the same had occurred at the beginning of the applicable four-quarter period, either (a) be permitted to incur at least $1.00 of additional Indebtedness pursuant to the Debt to Cash Flow Ratio test set forth in the first paragraph of the covenant described above under the caption “—Incurrence of Indebtedness and Issuance of Disqualified Stock and Preferred Stock” or (b) have a Debt to Cash Flow Ratio no greater than the Debt to Cash Flow Ratio of the Issuer immediately prior to such transaction.</w:t>
      </w:r>
    </w:p>
    <w:p>
      <w:pPr>
        <w:spacing w:after="0" w:line="57"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Upon any consolidation or merger, or any sale, assignment, lease, transfer, conveyance or other disposition of all or substantially all of the properties and assets of the Issuer and its Restricted Subsidiaries (prior to the occurrence of an Investment Grade Event Election) or the Issuer and its Subsidiaries (following the occurrence of an Investment Grade Event Election), in each case taken as a whole, in a transaction that is subject to, and that complies with the provisions of, this “Merger, Consolidation or Sale of Assets” covenant, the successor Person formed by such consolidation or into or with which the Issuer is merged or to which such sale, assignment, lease, transfer, conveyance or other disposition is made, shall succeed to, and be substituted for the Issuer (so that from and after the date of such consolidation, merger, sale, assignment, transfer, lease, conveyance or other disposition, the provisions of the Indenture referring to the “Issuer” shall refer instead to the successor Person and not to the Issuer), and may exercise every right and power of the Issuer under the Indenture with the same effect as if such successor Person had been named as the Issuer therein. When the successor Person assumes all of the Issuer’s obligations under the Indenture, the Issuer shall be discharged from those obligations.</w:t>
      </w:r>
    </w:p>
    <w:p>
      <w:pPr>
        <w:spacing w:after="0" w:line="60"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This “Merger, Consolidation or Sale of Assets” covenant will not apply to (and the following shall be permitted notwithstanding such covenant):</w:t>
      </w:r>
    </w:p>
    <w:p>
      <w:pPr>
        <w:spacing w:after="0" w:line="62" w:lineRule="exact"/>
        <w:rPr>
          <w:sz w:val="20"/>
          <w:szCs w:val="20"/>
          <w:color w:val="auto"/>
        </w:rPr>
      </w:pPr>
    </w:p>
    <w:p>
      <w:pPr>
        <w:ind w:left="1000" w:right="439" w:hanging="348"/>
        <w:spacing w:after="0" w:line="25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merger of the Issuer with a direct or indirect Subsidiary of Parent solely for the purpose of reincorporating the Issuer in another jurisdiction in the United States so long as the amount of Indebtedness of the Issuer and its Restricted Subsidiaries (prior to the occurrence of an Investment Grade Event Election) or Specified Indebtedness of the Issuer and its Subsidiaries (following the occurrence of an Investment Grade Event Election) is not increased thereby; or</w:t>
      </w:r>
    </w:p>
    <w:p>
      <w:pPr>
        <w:spacing w:after="0" w:line="79" w:lineRule="exact"/>
        <w:rPr>
          <w:rFonts w:ascii="Arial" w:cs="Arial" w:eastAsia="Arial" w:hAnsi="Arial"/>
          <w:sz w:val="18"/>
          <w:szCs w:val="18"/>
          <w:color w:val="auto"/>
        </w:rPr>
      </w:pPr>
    </w:p>
    <w:p>
      <w:pPr>
        <w:ind w:left="1000" w:right="579" w:hanging="348"/>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Issuer and its Restricted Subsidiaries (prior to the occurrence of an Investment Grade Event Election) or the Issuer and its Subsidiaries (following the occurrence of an Investment Grade Event Election).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Arial" w:cs="Arial" w:eastAsia="Arial" w:hAnsi="Arial"/>
          <w:sz w:val="17"/>
          <w:szCs w:val="17"/>
          <w:i w:val="1"/>
          <w:iCs w:val="1"/>
          <w:color w:val="auto"/>
        </w:rPr>
        <w:t>Affiliate Transaction</w:t>
      </w:r>
      <w:r>
        <w:rPr>
          <w:rFonts w:ascii="Arial" w:cs="Arial" w:eastAsia="Arial" w:hAnsi="Arial"/>
          <w:sz w:val="17"/>
          <w:szCs w:val="17"/>
          <w:color w:val="auto"/>
        </w:rPr>
        <w:t>”), in any one or series of related transactions involving aggregate payments or consideration in excess of $50.0 million, unless:</w:t>
      </w:r>
    </w:p>
    <w:p>
      <w:pPr>
        <w:spacing w:after="0" w:line="68" w:lineRule="exact"/>
        <w:rPr>
          <w:sz w:val="20"/>
          <w:szCs w:val="20"/>
          <w:color w:val="auto"/>
        </w:rPr>
      </w:pPr>
    </w:p>
    <w:p>
      <w:pPr>
        <w:ind w:left="1000" w:right="579" w:hanging="348"/>
        <w:spacing w:after="0" w:line="286"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Affiliate Transaction is on terms that, taken as a whole, are no less favorable to the Issuer or the relevant Restricted Subsidiary than those that would have been obtained in a comparable transaction by the Issuer or such Restricted Subsidiary with an unrelated Person;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delivers to the Trustee:</w:t>
      </w:r>
    </w:p>
    <w:p>
      <w:pPr>
        <w:spacing w:after="0" w:line="117" w:lineRule="exact"/>
        <w:rPr>
          <w:rFonts w:ascii="Arial" w:cs="Arial" w:eastAsia="Arial" w:hAnsi="Arial"/>
          <w:sz w:val="18"/>
          <w:szCs w:val="18"/>
          <w:color w:val="auto"/>
        </w:rPr>
      </w:pPr>
    </w:p>
    <w:p>
      <w:pPr>
        <w:ind w:left="1360" w:right="839" w:hanging="348"/>
        <w:spacing w:after="0" w:line="263"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officers’ certificate certifying that such Affiliate Transaction complies with this covenant; and</w:t>
      </w:r>
    </w:p>
    <w:p>
      <w:pPr>
        <w:spacing w:after="0" w:line="75" w:lineRule="exact"/>
        <w:rPr>
          <w:rFonts w:ascii="Arial" w:cs="Arial" w:eastAsia="Arial" w:hAnsi="Arial"/>
          <w:sz w:val="18"/>
          <w:szCs w:val="18"/>
          <w:color w:val="auto"/>
        </w:rPr>
      </w:pPr>
    </w:p>
    <w:p>
      <w:pPr>
        <w:ind w:left="1360" w:right="439" w:hanging="348"/>
        <w:spacing w:after="0" w:line="257"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$250.0 million, a resolution of the Board of Directors of the Issuer set forth in an officers’ certificate certifying that such Affiliate Transaction complies with this covenant and that such Affiliate Transaction has been approved by a majority of the disinterested members of the Board of Directors of the Issuer.</w:t>
      </w:r>
    </w:p>
    <w:p>
      <w:pPr>
        <w:spacing w:after="0" w:line="80"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The following items will not be deemed to be Affiliate Transactions and, therefore, will not be subject to the provisions of the prior paragraph:</w:t>
      </w:r>
    </w:p>
    <w:p>
      <w:pPr>
        <w:spacing w:after="0" w:line="62" w:lineRule="exact"/>
        <w:rPr>
          <w:sz w:val="20"/>
          <w:szCs w:val="20"/>
          <w:color w:val="auto"/>
        </w:rPr>
      </w:pPr>
    </w:p>
    <w:p>
      <w:pPr>
        <w:ind w:left="1000" w:right="539" w:hanging="348"/>
        <w:spacing w:after="0" w:line="293"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employment agreement, employee benefit plan, agreement or plan relating to employee, officer or director compensation or severance, officer or director indemnification agreement or any similar arrangement entered into by the Issuer, any of its Restricted Subsidiaries or a direct or indirect parent of the Issuer existing on the Closing Date, or entered into thereafter in the ordinary course of business, and any indemnities or other transactions permitted or required by law, statutory provisions or any of the foregoing agreements, plans or arrangements and payments pursuant thereto;</w:t>
      </w:r>
    </w:p>
    <w:p>
      <w:pPr>
        <w:spacing w:after="0" w:line="56" w:lineRule="exact"/>
        <w:rPr>
          <w:rFonts w:ascii="Arial" w:cs="Arial" w:eastAsia="Arial" w:hAnsi="Arial"/>
          <w:sz w:val="16"/>
          <w:szCs w:val="16"/>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transactions between or among Parent, the Issuer and/or its Restricted Subsidiaries;</w:t>
      </w:r>
    </w:p>
    <w:p>
      <w:pPr>
        <w:spacing w:after="0" w:line="117"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the Issuer) that is an Affiliate of the Issuer solely because the Issuer owns, directly or through a Restricted Subsidiary, an Equity Interest in, or controls, such Person;</w:t>
      </w:r>
    </w:p>
    <w:p>
      <w:pPr>
        <w:spacing w:after="0" w:line="75"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Issuer to, or receipt of any capital contribution from, any Affiliate of the Issuer;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transactions in connection with any Permitted Joint Venture Investment;</w:t>
      </w:r>
    </w:p>
    <w:p>
      <w:pPr>
        <w:spacing w:after="0" w:line="117"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Permitted Investments or Restricted Payments that do not violate the provisions of the Indenture described above under the caption “—Restricted Payments”;</w:t>
      </w:r>
    </w:p>
    <w:p>
      <w:pPr>
        <w:spacing w:after="0" w:line="62" w:lineRule="exact"/>
        <w:rPr>
          <w:rFonts w:ascii="Arial" w:cs="Arial" w:eastAsia="Arial" w:hAnsi="Arial"/>
          <w:sz w:val="18"/>
          <w:szCs w:val="18"/>
          <w:color w:val="auto"/>
        </w:rPr>
      </w:pPr>
    </w:p>
    <w:p>
      <w:pPr>
        <w:jc w:val="both"/>
        <w:ind w:left="1000" w:right="419" w:hanging="348"/>
        <w:spacing w:after="0" w:line="291"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(x) any contracts, agreements or understandings existing as of the Issue Date and disclosed in the notes to the consolidated financial statements of MetroPCS Wireless, Inc. for the year ended December 31, 2012,</w:t>
      </w:r>
    </w:p>
    <w:p>
      <w:pPr>
        <w:ind w:left="1000" w:right="359"/>
        <w:spacing w:after="0" w:line="268" w:lineRule="auto"/>
        <w:rPr>
          <w:rFonts w:ascii="Arial" w:cs="Arial" w:eastAsia="Arial" w:hAnsi="Arial"/>
          <w:sz w:val="16"/>
          <w:szCs w:val="16"/>
          <w:color w:val="auto"/>
        </w:rPr>
      </w:pPr>
      <w:r>
        <w:rPr>
          <w:rFonts w:ascii="Arial" w:cs="Arial" w:eastAsia="Arial" w:hAnsi="Arial"/>
          <w:sz w:val="17"/>
          <w:szCs w:val="17"/>
          <w:color w:val="auto"/>
        </w:rPr>
        <w:t>(y) any agreement listed on Schedule 3.2(r)—Related-Party Agreements—to the “T-Mobile Disclosure Letter” to the Business Combination Agreement, and (z) any agreement listed under the section entitled “Transactions with Related Persons and Approval” in the proxy statement of Parent filed with the SEC under cover of Schedule 14A on April 16, 2012 and, in each case, any amendments to, replacements of, or orders pursuant to such contracts, agreements or understandings so long as any such amendments, replacements, or orders, taken as a whole, are not (in the good faith judgment of the Issuer’s Board of Directors or a senior financial officer of the Issuer, whose determination shall be conclusive) more disadvantageous to the Issuer or to the holders of the Notes in any material respect than the original contracts, agreements or understandings as in effect on the Closing Date;</w:t>
      </w:r>
    </w:p>
    <w:p>
      <w:pPr>
        <w:spacing w:after="0" w:line="73" w:lineRule="exact"/>
        <w:rPr>
          <w:rFonts w:ascii="Arial" w:cs="Arial" w:eastAsia="Arial" w:hAnsi="Arial"/>
          <w:sz w:val="16"/>
          <w:szCs w:val="16"/>
          <w:color w:val="auto"/>
        </w:rPr>
      </w:pPr>
    </w:p>
    <w:p>
      <w:pPr>
        <w:ind w:left="1000" w:right="399" w:hanging="348"/>
        <w:spacing w:after="0" w:line="286"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transactions with customers, clients, suppliers, purchasers, sellers of goods or services, or licensees of intellectual property, in each case in the ordinary course of business and otherwise in compliance with the terms of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good faith determination of the Issuer’s Board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619"/>
        <w:spacing w:after="0" w:line="301" w:lineRule="auto"/>
        <w:rPr>
          <w:sz w:val="20"/>
          <w:szCs w:val="20"/>
          <w:color w:val="auto"/>
        </w:rPr>
      </w:pPr>
      <w:r>
        <w:rPr>
          <w:rFonts w:ascii="Arial" w:cs="Arial" w:eastAsia="Arial" w:hAnsi="Arial"/>
          <w:sz w:val="16"/>
          <w:szCs w:val="16"/>
          <w:color w:val="auto"/>
        </w:rPr>
        <w:t>Directors or a senior financial officer of the Issuer, which determination shall be conclusive, such transactions are on terms, taken as a whole, not materially less favorable to the Issuer or the applicable Restricted Subsidiary than those that could reasonably be expected to be obtained in a comparable transaction at such time on an arm’s length basis from a Person that is not an Affiliate of the Issuer;</w:t>
      </w:r>
    </w:p>
    <w:p>
      <w:pPr>
        <w:spacing w:after="0" w:line="49" w:lineRule="exact"/>
        <w:rPr>
          <w:sz w:val="20"/>
          <w:szCs w:val="20"/>
          <w:color w:val="auto"/>
        </w:rPr>
      </w:pPr>
    </w:p>
    <w:p>
      <w:pPr>
        <w:ind w:left="1000" w:right="619" w:hanging="348"/>
        <w:spacing w:after="0" w:line="279"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issuances, exchanges, purchases or repurchases of Notes or other Indebtedness of the Issuer or its Restricted Subsidiaries or solicitations of amendments, waivers or consents in respect of Notes or such other Indebtedness, if such issuance, exchange, purchase, repurchase or solicitation is approved by a majority of the disinterested members of the Board of Directors of the Issuer;</w:t>
      </w:r>
    </w:p>
    <w:p>
      <w:pPr>
        <w:spacing w:after="0" w:line="63" w:lineRule="exact"/>
        <w:rPr>
          <w:rFonts w:ascii="Arial" w:cs="Arial" w:eastAsia="Arial" w:hAnsi="Arial"/>
          <w:sz w:val="17"/>
          <w:szCs w:val="17"/>
          <w:color w:val="auto"/>
        </w:rPr>
      </w:pPr>
    </w:p>
    <w:p>
      <w:pPr>
        <w:ind w:left="1000" w:right="499" w:hanging="348"/>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payments made for any financial advisory, financing, underwriting, placement or syndication services approved by the Issuer’s Board of Directors or a senior financial officer of the Issuer in good faith;</w:t>
      </w:r>
    </w:p>
    <w:p>
      <w:pPr>
        <w:spacing w:after="0" w:line="75" w:lineRule="exact"/>
        <w:rPr>
          <w:rFonts w:ascii="Arial" w:cs="Arial" w:eastAsia="Arial" w:hAnsi="Arial"/>
          <w:sz w:val="18"/>
          <w:szCs w:val="18"/>
          <w:color w:val="auto"/>
        </w:rPr>
      </w:pPr>
    </w:p>
    <w:p>
      <w:pPr>
        <w:ind w:left="1000" w:right="339" w:hanging="348"/>
        <w:spacing w:after="0" w:line="273"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amendments, extensions, replacements and other modifications of transactions with Affiliates otherwise permitted by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good faith determination of the Issuer’s Board of Directors or a senior financial officer of the Issuer, which determination shall be conclusive, such amendments, extensions, replacements or other modifications, taken as a whole, are no less favorable in any material respect to the Issuer or the applicable Restricted Subsidiary than the transaction or transactions being amended, extended, replaced or modified; and</w:t>
      </w:r>
    </w:p>
    <w:p>
      <w:pPr>
        <w:spacing w:after="0" w:line="69" w:lineRule="exact"/>
        <w:rPr>
          <w:rFonts w:ascii="Arial" w:cs="Arial" w:eastAsia="Arial" w:hAnsi="Arial"/>
          <w:sz w:val="17"/>
          <w:szCs w:val="17"/>
          <w:color w:val="auto"/>
        </w:rPr>
      </w:pPr>
    </w:p>
    <w:p>
      <w:pPr>
        <w:ind w:left="1000" w:right="359" w:hanging="348"/>
        <w:spacing w:after="0" w:line="283"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the Business Combination Agreement and any Ancillary Agreements, as defined in the Business Combination Agreement, in each case, as the same may be amended, modified, supplemented or replaced from time to time on terms that, taken as a whole, in the good faith determination of the Issuer’s Board of Directors or a senior financial officer of the Issuer, which determination shall be conclusive, are not materially less favorable to the Issuer or the applicable Restricted Subsidiary than those of the agreement being amended, modified, supplemented or replaced, (ii) transactions or agreements relating to the DT Notes and the TMUS Working Capital Facility, each as may be amended, modified, or supplemented from time to time, and any indebtedness incurred in connection with the refinancing of the foregoing, on terms that, taken as a whole, in the good faith determination of the Issuer’s Board of Directors or a senior financial officer of the Issuer, which determination shall be conclusive, are not materially less favorable to the Issuer than those of the DT Notes or TMUS Working Capital Facility, as applicable, and</w:t>
      </w:r>
    </w:p>
    <w:p>
      <w:pPr>
        <w:spacing w:after="0" w:line="3" w:lineRule="exact"/>
        <w:rPr>
          <w:rFonts w:ascii="Arial" w:cs="Arial" w:eastAsia="Arial" w:hAnsi="Arial"/>
          <w:sz w:val="16"/>
          <w:szCs w:val="16"/>
          <w:color w:val="auto"/>
        </w:rPr>
      </w:pPr>
    </w:p>
    <w:p>
      <w:pPr>
        <w:ind w:left="1000" w:right="499"/>
        <w:spacing w:after="0" w:line="255" w:lineRule="auto"/>
        <w:rPr>
          <w:rFonts w:ascii="Arial" w:cs="Arial" w:eastAsia="Arial" w:hAnsi="Arial"/>
          <w:sz w:val="16"/>
          <w:szCs w:val="16"/>
          <w:color w:val="auto"/>
        </w:rPr>
      </w:pPr>
      <w:r>
        <w:rPr>
          <w:rFonts w:ascii="Arial" w:cs="Arial" w:eastAsia="Arial" w:hAnsi="Arial"/>
          <w:sz w:val="18"/>
          <w:szCs w:val="18"/>
          <w:color w:val="auto"/>
        </w:rPr>
        <w:t>(iii) transactions between the Issuer and its Restricted Subsidiaries, on the one hand, and any Designated Tower Entities that have been designated as Unrestricted Subsidiaries, on the other hand, in connection with the Towers Transaction.</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Prior to the occurrence of an Investment Grade Event Election with respect to each series of Notes, if (a) any Wholly-Owned Subsidiary of the Issuer that is not an Excluded Subsidiary becomes an obligor with respect to any Indebtedness under the Credit Agreement, (b) any Wholly-Owned Subsidiary of the Issuer that is not an Excluded Subsidiary and that is not an Unrestricted Subsidiary becomes an obligor with respect to any capital markets debt securities in an aggregate principal amount in excess of $500.0 million or (c) Parent or any Subsidiary of Parent acquires or creates a Subsidiary that directly or indirectly owns Capital Stock of the Issuer, then the Issuer or Parent, as applicable, will, within 20 Business Days after the date on which it becomes an obligor with respect to any of the foregoing, or reasonably promptly thereafter, (i) cause that newly acquired or created Subsidiary to become a Guarantor of the Notes and execute a supplemental indenture and (ii), if requested by the Trustee, deliver an opinion of counsel reasonably satisfactory to the Trustee.</w:t>
      </w:r>
    </w:p>
    <w:p>
      <w:pPr>
        <w:spacing w:after="0" w:line="77" w:lineRule="exact"/>
        <w:rPr>
          <w:sz w:val="20"/>
          <w:szCs w:val="20"/>
          <w:color w:val="auto"/>
        </w:rPr>
      </w:pPr>
    </w:p>
    <w:p>
      <w:pPr>
        <w:ind w:left="300" w:right="439" w:firstLine="360"/>
        <w:spacing w:after="0" w:line="288" w:lineRule="auto"/>
        <w:rPr>
          <w:sz w:val="20"/>
          <w:szCs w:val="20"/>
          <w:color w:val="auto"/>
        </w:rPr>
      </w:pPr>
      <w:r>
        <w:rPr>
          <w:rFonts w:ascii="Arial" w:cs="Arial" w:eastAsia="Arial" w:hAnsi="Arial"/>
          <w:sz w:val="16"/>
          <w:szCs w:val="16"/>
          <w:color w:val="auto"/>
        </w:rPr>
        <w:t>Following the occurrence of an Investment Grade Event Election, with respect to each series of Notes, if the aggregate principal amount of Indebtedness for Borrowed Money of non-guarantor Subsidiaries that are not Excluded Subsidiaries (excluding any Specified Indebtedness under any Permitted Receivables Financing and any Specified Indebtedness of an “Unrestricted Subsidiary” (or the equivalent thereof) under the Credit Agreement or Permitted Receivables Financing Subsidiary) that is incurred or issued and outstanding exceeds $2,000.0 million (the “</w:t>
      </w:r>
      <w:r>
        <w:rPr>
          <w:rFonts w:ascii="Arial" w:cs="Arial" w:eastAsia="Arial" w:hAnsi="Arial"/>
          <w:sz w:val="16"/>
          <w:szCs w:val="16"/>
          <w:i w:val="1"/>
          <w:iCs w:val="1"/>
          <w:color w:val="auto"/>
        </w:rPr>
        <w:t>Guarantee Threshold</w:t>
      </w:r>
      <w:r>
        <w:rPr>
          <w:rFonts w:ascii="Arial" w:cs="Arial" w:eastAsia="Arial" w:hAnsi="Arial"/>
          <w:sz w:val="16"/>
          <w:szCs w:val="16"/>
          <w:color w:val="auto"/>
        </w:rPr>
        <w:t>”), then Parent shall cause such of its non-guarantor Subsidiaries that are not Excluded Subsidiaries to, within 60 days, execute and deliver a supplemental indenture providing for a Note Guarantee by such non-guarantor Subsidiaries (each such Note Guarantee, a “</w:t>
      </w:r>
      <w:r>
        <w:rPr>
          <w:rFonts w:ascii="Arial" w:cs="Arial" w:eastAsia="Arial" w:hAnsi="Arial"/>
          <w:sz w:val="16"/>
          <w:szCs w:val="16"/>
          <w:i w:val="1"/>
          <w:iCs w:val="1"/>
          <w:color w:val="auto"/>
        </w:rPr>
        <w:t>Post-Release Event Note Guarantee</w:t>
      </w:r>
      <w:r>
        <w:rPr>
          <w:rFonts w:ascii="Arial" w:cs="Arial" w:eastAsia="Arial" w:hAnsi="Arial"/>
          <w:sz w:val="16"/>
          <w:szCs w:val="16"/>
          <w:color w:val="auto"/>
        </w:rPr>
        <w:t>”) such that the aggregate principal amount of Specified Indebtedness of all other non-guarantor Subsidiaries that are not Excluded Subsidiaries (excluding any Specified Indebtedness under any Permitted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87" w:lineRule="auto"/>
        <w:rPr>
          <w:sz w:val="20"/>
          <w:szCs w:val="20"/>
          <w:color w:val="auto"/>
        </w:rPr>
      </w:pPr>
      <w:r>
        <w:rPr>
          <w:rFonts w:ascii="Arial" w:cs="Arial" w:eastAsia="Arial" w:hAnsi="Arial"/>
          <w:sz w:val="16"/>
          <w:szCs w:val="16"/>
          <w:color w:val="auto"/>
        </w:rPr>
        <w:t xml:space="preserve">Receivables Financing and any Specified Indebtedness of an “Unrestricted Subsidiary” (or the equivalent thereof) under the Credit Agreement or Permitted Receivables Financing Subsidiary) that is incurred or issued and outstanding does not exceed the Guarantee Threshold (after giving effect to the provision of Post-Release Event Note Guarantees pursuant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this covenant shall not be applicable to any Specified Indebtedness of any Subsidiary that existed at the time such Person became a Subsidiary of Parent (including any Specified Indebtedness incurred in connection with, or in contemplation of, such Person becoming a Subsidiary, so long as Parent and its Subsidiaries (other than such Person and its Subsidiaries) are not obligors under such Specified Indebtedness), (ii) if the Guarantee Threshold would be exceeded immediately after giving effect to the occurrence of an Investment Grade Event Election, then such Investment Grade Event Election shall be deemed not to have occurred with respect to the release of such Note Guarantees as the Issuer may designate such that the Guarantee Threshold would not be then exceeded and (iii) a Post-Release Event Note Guarantee shall be released to the extent the Guarantee Threshold would not be exceeded after giving effect to such release.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117" w:lineRule="exact"/>
        <w:rPr>
          <w:sz w:val="20"/>
          <w:szCs w:val="20"/>
          <w:color w:val="auto"/>
        </w:rPr>
      </w:pPr>
    </w:p>
    <w:p>
      <w:pPr>
        <w:jc w:val="both"/>
        <w:ind w:left="300" w:right="399" w:firstLine="360"/>
        <w:spacing w:after="0" w:line="291" w:lineRule="auto"/>
        <w:rPr>
          <w:sz w:val="20"/>
          <w:szCs w:val="20"/>
          <w:color w:val="auto"/>
        </w:rPr>
      </w:pPr>
      <w:r>
        <w:rPr>
          <w:rFonts w:ascii="Arial" w:cs="Arial" w:eastAsia="Arial" w:hAnsi="Arial"/>
          <w:sz w:val="16"/>
          <w:szCs w:val="16"/>
          <w:color w:val="auto"/>
        </w:rPr>
        <w:t>The Board of Directors of the Issuer may designate any Restricted Subsidiary to be an Unrestricted Subsidiary if that designation would not cause a Default. If a Restricted Subsidiary is designated as an Unrestricted Subsidiary,</w:t>
      </w:r>
    </w:p>
    <w:p>
      <w:pPr>
        <w:ind w:left="300" w:right="339" w:hanging="8"/>
        <w:spacing w:after="0" w:line="267" w:lineRule="auto"/>
        <w:tabs>
          <w:tab w:leader="none" w:pos="5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aggregate Fair Market Value of all outstanding Investments owned by the Issuer and its Restricted Subsidiaries in the Subsidiary designated as an Unrestricted Subsidiary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the Issuer in its discretion, and (ii) any Guarantee by the Issuer or any Restricted Subsidiary thereof of any Indebtedness of the Restricted Subsidiary being so designated will be deemed to be an incurrence of Indebtedness by the Issuer or such Restricted Subsidiary (or both, if applicable) at the time of such designation. That designation will only be permitted if the Investment and/or incurrence of Indebtedness would be permitted at that time and if the Restricted Subsidiary otherwise meets the definition of an Unrestricted Subsidiary. The Board of Directors of the Issuer may redesignate any Unrestricted Subsidiary to be a Restricted Subsidiary if that redesignation would not cause a Default.</w:t>
      </w:r>
    </w:p>
    <w:p>
      <w:pPr>
        <w:spacing w:after="0" w:line="78"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 xml:space="preserve">Any designation of a Subsidiary of the Issuer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The Board of Directors of the Issuer may at any time designate any Unrestricted Subsidiary to be a Restricted Subsidiary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will be deemed to be an incurrence of Indebtedness by a Restricted Subsidiary of the Issuer of any outstanding Indebtedness of such Unrestricted Subsidiary, and such designation will only be permitted if (1) such Indebtedness is permitted under the covenant described under the caption “—Incurrence of Indebtedness and Issuance of Disqualified Stock and Preferred Stock,” calculated on a pro forma basis as if such designation had occurred at the beginning of the four-quarter reference period; and (2) no Default would be in existence following such designation, and as a result of, such designation.</w:t>
      </w:r>
    </w:p>
    <w:p>
      <w:pPr>
        <w:spacing w:after="0" w:line="74"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Notwithstanding the foregoing, the Issuer may at any time and from time to time designate any Designated Entity, by written notice to the Trustee, as an Unrestricted Subsidiary, and any such Subsidiary shall upon such notice immediately be designated and deemed an Unrestricted Subsidiary, without any further action by the Issuer (and, for the avoidance of doubt, shall not require delivery of a resolution of the Board of Directors or of an officers’ certificate) (each, a “</w:t>
      </w:r>
      <w:r>
        <w:rPr>
          <w:rFonts w:ascii="Arial" w:cs="Arial" w:eastAsia="Arial" w:hAnsi="Arial"/>
          <w:sz w:val="17"/>
          <w:szCs w:val="17"/>
          <w:i w:val="1"/>
          <w:iCs w:val="1"/>
          <w:color w:val="auto"/>
        </w:rPr>
        <w:t>Specified Unrestricted Subsidiary Designation</w:t>
      </w:r>
      <w:r>
        <w:rPr>
          <w:rFonts w:ascii="Arial" w:cs="Arial" w:eastAsia="Arial" w:hAnsi="Arial"/>
          <w:sz w:val="17"/>
          <w:szCs w:val="17"/>
          <w:color w:val="auto"/>
        </w:rPr>
        <w:t>”). The aggregate Fair Market Value of all outstanding Investments owned by the Issuer and its Restricted Subsidiaries in such Designated Entities so designated as Unrestricted Subsidiaries will, as calculated and to the extent permitted by clause (18) of the definition of Permitted Investments, be deemed to be an Investment made as of the time of such Specified Unrestricted Subsidiary Designation under such clause (18), and not reduce the amount available for Restricted Payments under the covenant described above under the caption “—Restricted Payments.”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Whether or not required by the rules and regulations of the SEC, so long as any Notes are outstanding, Parent will file a copy of each of the reports referred to in clauses (1) and (2) below with the SEC for public availability within the time periods (including all applicable extension periods) specified in the SEC rules and regulations applicable to such reports (unless the SEC will not accept such a filing):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30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quarterly and annual financial reports that would be required to be contained in a filing with the SEC on Forms 10-Q and 10-K if Parent were required to file such reports, including a “Management’s Discussion and Analysis of Financial Condition and Results of Operations” and, with respect to the annual information only, a report on the annual financial statements by its certified independent accountants; and</w:t>
      </w:r>
    </w:p>
    <w:p>
      <w:pPr>
        <w:spacing w:after="0" w:line="49"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62"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availability of the foregoing reports on the SEC’s EDGAR service (or successor thereto)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satisfy the Issuer’s delivery obligations to the Trustee and any holder of Notes.</w:t>
      </w:r>
    </w:p>
    <w:p>
      <w:pPr>
        <w:spacing w:after="0" w:line="38"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 xml:space="preserve">All such reports will be prepared in all material respects in accordance with all of the rules and regulations applicable to such reports;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Parent is not required under the rules and regulations of the SEC to file such reports with the SEC for public availability, such reports need not be prepared in accordance with all of the rules and regulations applicable to such reports and shall only be required to include the information or disclosure that would be required by such form to the extent that, and in the same general style of presentation as, the same or substantially similar information or disclosure is also included or incorporated by reference in this prospectus supplement. The Issuer will comply with §314(a) of the Trust Indenture Act.</w:t>
      </w:r>
    </w:p>
    <w:p>
      <w:pPr>
        <w:spacing w:after="0" w:line="58"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 xml:space="preserve">If the SEC will not accept Parent’s filings for any reason, the Issuer will post the reports referred to in the preceding paragraphs on its website, on intralinks.com or another website within the time periods that would apply if Parent were required to file those reports with the SEC (including all applicable extension periods). If the combined operations of Parent and its Subsidiaries, excluding the operations of the Issuer and its Subsidiaries and excluding Specified Cash Equivalents, would, if held by a single Subsidiary of the Issuer, constitute a Significant Subsidiary of the Issuer, then the quarterly and annual financial information required by the preceding paragraphs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Subsidiaries separate from the financial condition and results of operations of Parent and its other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requirements of this paragraph shall not apply if Parent or the Issuer files with the SEC the reports referred to in clauses (1) and (2) of the first paragraph of this covenant, and any such report contains the information required in this paragraph.</w:t>
      </w:r>
    </w:p>
    <w:p>
      <w:pPr>
        <w:spacing w:after="0" w:line="60"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Notwithstanding anything herein to the contrary, the Issuer will not be deemed to have failed to comply with any of its obligations hereunder for purposes of clause (4) under “—Events of Default and Remedies” until 150 days after the receipt of the written notice delivered thereunder.</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so long as any Notes remain outstanding, if at any time Parent or the Issuer is not required to file with the SEC the reports required by the preceding paragraphs, the Issuer will furnish to the holders of Notes and to securities analysts and prospective investors, upon their request, the information required to be delivered pursuant to Rule 144A(d)(4)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p>
    <w:p>
      <w:pPr>
        <w:spacing w:after="0" w:line="63"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Any such reports delivered or filed by the Issuer with the Trustee shall be considered for informational purposes only and the Trustee’s receipt of such reports shall not constitute notice or actual knowledge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 in respect of the Notes of a series:</w:t>
      </w:r>
    </w:p>
    <w:p>
      <w:pPr>
        <w:spacing w:after="0" w:line="117"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of such series;</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 Notes of such series;</w:t>
      </w:r>
    </w:p>
    <w:p>
      <w:pPr>
        <w:spacing w:after="0" w:line="62" w:lineRule="exact"/>
        <w:rPr>
          <w:rFonts w:ascii="Arial" w:cs="Arial" w:eastAsia="Arial" w:hAnsi="Arial"/>
          <w:sz w:val="18"/>
          <w:szCs w:val="18"/>
          <w:color w:val="auto"/>
        </w:rPr>
      </w:pPr>
    </w:p>
    <w:p>
      <w:pPr>
        <w:ind w:left="1000" w:right="499" w:hanging="348"/>
        <w:spacing w:after="0" w:line="311"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failure by the Issuer or any of its Restricted Subsidiaries (prior to the occurrence of an Investment Grade Event Election) or by the Issuer or any of its Subsidiaries (following the occurrence of an Investment Grade Event Election) for 30 days after notice to the Issuer by the Trustee or the holders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301" w:lineRule="auto"/>
        <w:rPr>
          <w:sz w:val="20"/>
          <w:szCs w:val="20"/>
          <w:color w:val="auto"/>
        </w:rPr>
      </w:pPr>
      <w:r>
        <w:rPr>
          <w:rFonts w:ascii="Arial" w:cs="Arial" w:eastAsia="Arial" w:hAnsi="Arial"/>
          <w:sz w:val="16"/>
          <w:szCs w:val="16"/>
          <w:color w:val="auto"/>
        </w:rPr>
        <w:t>at least 30% in aggregate principal amount of the Notes of such series then outstanding voting as a single class to comply with the provisions described under the caption “—Repurchase at the Option of Holders— Change of Control Triggering Event” (other than a failure to purchase Notes that will constitute an Event of Default under clause (2) above), or “—Certain Covenants—Merger, Consolidation or Sale of Assets”;</w:t>
      </w:r>
    </w:p>
    <w:p>
      <w:pPr>
        <w:spacing w:after="0" w:line="49" w:lineRule="exact"/>
        <w:rPr>
          <w:sz w:val="20"/>
          <w:szCs w:val="20"/>
          <w:color w:val="auto"/>
        </w:rPr>
      </w:pPr>
    </w:p>
    <w:p>
      <w:pPr>
        <w:ind w:left="1000" w:right="359" w:hanging="348"/>
        <w:spacing w:after="0" w:line="255"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by the Issuer or any of its Restricted Subsidiaries (prior to the occurrence of an Investment Grade Event Election) or by the Issuer or any of its Subsidiaries (following the occurrence of an Investment Grade Event Election) for 90 days after notice to the Issuer by the Trustee or the holders of at least 30% in aggregate principal amount of the Notes of such series then outstanding voting as a single class to comply with any of the other agreements in the Indenture (other than those described in clauses (1), (2) and (3) above);</w:t>
      </w:r>
    </w:p>
    <w:p>
      <w:pPr>
        <w:spacing w:after="0" w:line="84" w:lineRule="exact"/>
        <w:rPr>
          <w:rFonts w:ascii="Arial" w:cs="Arial" w:eastAsia="Arial" w:hAnsi="Arial"/>
          <w:sz w:val="18"/>
          <w:szCs w:val="18"/>
          <w:color w:val="auto"/>
        </w:rPr>
      </w:pPr>
    </w:p>
    <w:p>
      <w:pPr>
        <w:ind w:left="1000" w:right="379" w:hanging="348"/>
        <w:spacing w:after="0" w:line="269"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Specified Indebtedness for money borrowed by (i) prior to the occurrence of an Investment Grade Event Election, the Issuer or any of its Restricted Subsidiaries that is a Significant Subsidiary (or any Restricted Subsidiaries that together would constitute a Significant Subsidiary) (or the payment of which Specified Indebtedness for borrowed money is guaranteed by the Issuer or any of its Restricted Subsidiaries that would constitute a Significant Subsidiary) or (ii) following the occurrence of an Investment Grade Event Election, the Issuer or any of its Significant Subsidiaries (or any of its Subsidiaries that together would constitute a Significant Subsidiary) (or the payment of which Specified Indebtedness for borrowed money is guaranteed by the Issuer or any of its Significant Subsidiaries); in each case whether such Specified Indebtedness or Specified Guarantee now exists, or is created after the Series Issue Date, if that default:</w:t>
      </w:r>
    </w:p>
    <w:p>
      <w:pPr>
        <w:spacing w:after="0" w:line="73" w:lineRule="exact"/>
        <w:rPr>
          <w:rFonts w:ascii="Arial" w:cs="Arial" w:eastAsia="Arial" w:hAnsi="Arial"/>
          <w:sz w:val="17"/>
          <w:szCs w:val="17"/>
          <w:color w:val="auto"/>
        </w:rPr>
      </w:pPr>
    </w:p>
    <w:p>
      <w:pPr>
        <w:ind w:left="1360" w:right="399" w:hanging="348"/>
        <w:spacing w:after="0" w:line="263" w:lineRule="auto"/>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Specified Indebtedness at the later of final maturity and the expiration of any related applicable grace period (a “Payment Default”); or</w:t>
      </w:r>
    </w:p>
    <w:p>
      <w:pPr>
        <w:spacing w:after="0" w:line="75" w:lineRule="exact"/>
        <w:rPr>
          <w:rFonts w:ascii="Arial" w:cs="Arial" w:eastAsia="Arial" w:hAnsi="Arial"/>
          <w:sz w:val="18"/>
          <w:szCs w:val="18"/>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results in the acceleration of such Specified Indebtedness prior to its express maturity;</w:t>
      </w:r>
    </w:p>
    <w:p>
      <w:pPr>
        <w:spacing w:after="0" w:line="117" w:lineRule="exact"/>
        <w:rPr>
          <w:sz w:val="20"/>
          <w:szCs w:val="20"/>
          <w:color w:val="auto"/>
        </w:rPr>
      </w:pPr>
    </w:p>
    <w:p>
      <w:pPr>
        <w:jc w:val="both"/>
        <w:ind w:left="1020" w:right="519"/>
        <w:spacing w:after="0" w:line="296" w:lineRule="auto"/>
        <w:rPr>
          <w:sz w:val="20"/>
          <w:szCs w:val="20"/>
          <w:color w:val="auto"/>
        </w:rPr>
      </w:pPr>
      <w:r>
        <w:rPr>
          <w:rFonts w:ascii="Arial" w:cs="Arial" w:eastAsia="Arial" w:hAnsi="Arial"/>
          <w:sz w:val="16"/>
          <w:szCs w:val="16"/>
          <w:color w:val="auto"/>
        </w:rPr>
        <w:t>and, in each case, the principal amount of any such Specified Indebtedness, together with the principal amount of any other such Specified Indebtedness under which there has been a Payment Default or the maturity of which has been so accelerated, aggregates an amount equal to the greater of $250.0 million and 1.00% of Specified Consolidated Cash Flow determined on a Pro Forma Basis for the most recently ended Test Period or more, in each case for so long as such failure or acceleration is continuing;</w:t>
      </w:r>
    </w:p>
    <w:p>
      <w:pPr>
        <w:spacing w:after="0" w:line="53" w:lineRule="exact"/>
        <w:rPr>
          <w:sz w:val="20"/>
          <w:szCs w:val="20"/>
          <w:color w:val="auto"/>
        </w:rPr>
      </w:pPr>
    </w:p>
    <w:p>
      <w:pPr>
        <w:ind w:left="1000" w:right="399" w:hanging="348"/>
        <w:spacing w:after="0" w:line="269"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failure by (i) prior to the occurrence of an Investment Grade Event Election, the Issuer or any of its Restricted Subsidiaries that is a Significant Subsidiary (or any Restricted Subsidiaries that together would constitute a Significant Subsidiary) or (ii) following the occurrence of an Investment Grade Event Election, the Issuer or any of its Significant Subsidiaries (or any of its Subsidiaries that together would constitute a Significant Subsidiary) in each case to pay or discharge final judgments entered by a court or courts of competent jurisdiction aggregating in excess of an amount equal to the greater of $250.0 million and 1.00% of Specified Consolidated Cash Flow determined on a Pro Forma Basis for the most recently ended Test Period (to the extent not covered by indemnities or insurance), which judgments are not paid, discharged or stayed for a period of 60 consecutive days following entry of such final judgment or decree during which a stay of enforcement of such final judgment or decree, by reason of pending appeal or otherwise, is not in effect;</w:t>
      </w:r>
    </w:p>
    <w:p>
      <w:pPr>
        <w:spacing w:after="0" w:line="73" w:lineRule="exact"/>
        <w:rPr>
          <w:rFonts w:ascii="Arial" w:cs="Arial" w:eastAsia="Arial" w:hAnsi="Arial"/>
          <w:sz w:val="17"/>
          <w:szCs w:val="17"/>
          <w:color w:val="auto"/>
        </w:rPr>
      </w:pPr>
    </w:p>
    <w:p>
      <w:pPr>
        <w:ind w:left="1000" w:right="559" w:hanging="348"/>
        <w:spacing w:after="0" w:line="273"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prior to the occurrence of an Investment Grade Event Election, the Issuer or any of its Restricted Subsidiaries that is a Significant Subsidiary (or any group of Restricted Subsidiaries of the Issuer that, taken together, would constitute a Significant Subsidiary) or, following the occurrence of an Investment Grade Event Election, the Issuer or any of its Significant Subsidiaries, or (any group of its Subsidiaries that, taken together, would constitute a Significant Subsidiary), in each case pursuant to or within the meaning of any Bankruptcy Law:</w:t>
      </w:r>
    </w:p>
    <w:p>
      <w:pPr>
        <w:spacing w:after="0" w:line="69" w:lineRule="exact"/>
        <w:rPr>
          <w:rFonts w:ascii="Arial" w:cs="Arial" w:eastAsia="Arial" w:hAnsi="Arial"/>
          <w:sz w:val="17"/>
          <w:szCs w:val="17"/>
          <w:color w:val="auto"/>
        </w:rPr>
      </w:pPr>
    </w:p>
    <w:p>
      <w:pPr>
        <w:ind w:left="1360" w:hanging="348"/>
        <w:spacing w:after="0"/>
        <w:tabs>
          <w:tab w:leader="none" w:pos="13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court of competent jurisdiction enters a final order or decree under any Bankruptcy Law that:</w:t>
      </w:r>
    </w:p>
    <w:p>
      <w:pPr>
        <w:spacing w:after="0" w:line="117" w:lineRule="exact"/>
        <w:rPr>
          <w:rFonts w:ascii="Arial" w:cs="Arial" w:eastAsia="Arial" w:hAnsi="Arial"/>
          <w:sz w:val="18"/>
          <w:szCs w:val="18"/>
          <w:color w:val="auto"/>
        </w:rPr>
      </w:pPr>
    </w:p>
    <w:p>
      <w:pPr>
        <w:ind w:left="1360" w:right="579" w:hanging="348"/>
        <w:spacing w:after="0" w:line="287" w:lineRule="auto"/>
        <w:tabs>
          <w:tab w:leader="none" w:pos="13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 for relief against (i) prior to the occurrence of an Investment Grade Event Election, the Issuer or any of its Restricted Subsidiaries that is a Significant Subsidiary or any group of Restricted Subsidiaries of the Issuer that, taken together, would constitute a Significant Subsidiary or</w:t>
      </w:r>
    </w:p>
    <w:p>
      <w:pPr>
        <w:spacing w:after="0" w:line="2" w:lineRule="exact"/>
        <w:rPr>
          <w:rFonts w:ascii="Arial" w:cs="Arial" w:eastAsia="Arial" w:hAnsi="Arial"/>
          <w:sz w:val="16"/>
          <w:szCs w:val="16"/>
          <w:color w:val="auto"/>
        </w:rPr>
      </w:pPr>
    </w:p>
    <w:p>
      <w:pPr>
        <w:ind w:left="1360" w:right="379" w:firstLine="3"/>
        <w:spacing w:after="0" w:line="255" w:lineRule="auto"/>
        <w:tabs>
          <w:tab w:leader="none" w:pos="1625" w:val="left"/>
        </w:tabs>
        <w:numPr>
          <w:ilvl w:val="2"/>
          <w:numId w:val="62"/>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Issuer or any group of Subsidiaries of the Issuer that, taken together, would constitute a Significant Subsidiary of the Issuer; in each case in an involuntary case;</w:t>
      </w:r>
    </w:p>
    <w:p>
      <w:pPr>
        <w:spacing w:after="0" w:line="81" w:lineRule="exact"/>
        <w:rPr>
          <w:rFonts w:ascii="Arial" w:cs="Arial" w:eastAsia="Arial" w:hAnsi="Arial"/>
          <w:sz w:val="18"/>
          <w:szCs w:val="18"/>
          <w:color w:val="auto"/>
        </w:rPr>
      </w:pPr>
    </w:p>
    <w:p>
      <w:pPr>
        <w:ind w:left="1360" w:right="379" w:hanging="348"/>
        <w:spacing w:after="0" w:line="288" w:lineRule="auto"/>
        <w:tabs>
          <w:tab w:leader="none" w:pos="13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appoints a custodian of (i) prior to the occurrence of an Investment Grade Event Election, the Issuer or any of its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 (ii) following the occurrence of an Investment Grade Event Election, the Issuer or any of its Significant Subsidiaries or any group of Subsidiaries of the Issuer that, taken together, would constitute a Significant Subsidiary of the Issuer or for all or substantially all of the property of the Issuer or any of its Significant Subsidiaries or any group of Subsidiaries of the Issuer that, taken together, would constitute a Significant Subsidiary; or</w:t>
      </w:r>
    </w:p>
    <w:p>
      <w:pPr>
        <w:spacing w:after="0" w:line="60" w:lineRule="exact"/>
        <w:rPr>
          <w:rFonts w:ascii="Arial" w:cs="Arial" w:eastAsia="Arial" w:hAnsi="Arial"/>
          <w:sz w:val="16"/>
          <w:szCs w:val="16"/>
          <w:color w:val="auto"/>
        </w:rPr>
      </w:pPr>
    </w:p>
    <w:p>
      <w:pPr>
        <w:ind w:left="1360" w:right="399" w:hanging="348"/>
        <w:spacing w:after="0" w:line="287" w:lineRule="auto"/>
        <w:tabs>
          <w:tab w:leader="none" w:pos="13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orders the liquidation of (i) prior to the occurrence of an Investment Grade Event Election, the Issuer or any of its Restricted Subsidiaries that is a Significant Subsidiary or any group of Restricted Subsidiaries of the Issuer that, taken together, would constitute a Significant Subsidiary; or</w:t>
      </w:r>
    </w:p>
    <w:p>
      <w:pPr>
        <w:spacing w:after="0" w:line="2" w:lineRule="exact"/>
        <w:rPr>
          <w:rFonts w:ascii="Arial" w:cs="Arial" w:eastAsia="Arial" w:hAnsi="Arial"/>
          <w:sz w:val="16"/>
          <w:szCs w:val="16"/>
          <w:color w:val="auto"/>
        </w:rPr>
      </w:pPr>
    </w:p>
    <w:p>
      <w:pPr>
        <w:ind w:left="1360" w:right="959" w:firstLine="3"/>
        <w:spacing w:after="0" w:line="255" w:lineRule="auto"/>
        <w:tabs>
          <w:tab w:leader="none" w:pos="1625" w:val="left"/>
        </w:tabs>
        <w:numPr>
          <w:ilvl w:val="2"/>
          <w:numId w:val="62"/>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Issuer or any of its Significant Subsidiaries or any group of Subsidiaries of the Issuer that, taken together, would constitute a Significant Subsidiary of the Issuer;</w:t>
      </w:r>
    </w:p>
    <w:p>
      <w:pPr>
        <w:spacing w:after="0" w:line="81" w:lineRule="exact"/>
        <w:rPr>
          <w:rFonts w:ascii="Arial" w:cs="Arial" w:eastAsia="Arial" w:hAnsi="Arial"/>
          <w:sz w:val="18"/>
          <w:szCs w:val="18"/>
          <w:color w:val="auto"/>
        </w:rPr>
      </w:pPr>
    </w:p>
    <w:p>
      <w:pPr>
        <w:ind w:left="1360" w:hanging="34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and the final order or decree remains unstayed and in effect for 60 consecutive days; and</w:t>
      </w:r>
    </w:p>
    <w:p>
      <w:pPr>
        <w:spacing w:after="0" w:line="117"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permitted by the Indenture, any Note Guarantee of a Significant Subsidiary or any group of Subsidiaries of the Issuer that, taken together, would constitute a Significant Subsidiary of the Issuer with respect to the Notes of such series is held in any judicial proceeding to be unenforceable or invalid or ceases for any reason to be in full force and effect, or any Guarantor, or any Person acting on behalf of any such Guarantor, denies or disaffirms its obligations under its Note Guarantee.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case of an Event of Default arising from certain events of bankruptcy or insolvency, with respect to</w:t>
      </w:r>
    </w:p>
    <w:p>
      <w:pPr>
        <w:spacing w:after="0" w:line="35" w:lineRule="exact"/>
        <w:rPr>
          <w:sz w:val="20"/>
          <w:szCs w:val="20"/>
          <w:color w:val="auto"/>
        </w:rPr>
      </w:pPr>
    </w:p>
    <w:p>
      <w:pPr>
        <w:ind w:left="300" w:right="319" w:hanging="8"/>
        <w:spacing w:after="0" w:line="267" w:lineRule="auto"/>
        <w:tabs>
          <w:tab w:leader="none" w:pos="5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prior to the occurrence of an Investment Grade Event, the Issuer, any Restricted Subsidiary of the Issuer that is a Significant Subsidiary or any group of Restricted Subsidiaries of the Issuer that, taken together, would constitute a Significant Subsidiary of the Issuer, or (ii) following the occurrence of an Investment Grade Event, the Issuer, any of its Significant Subsidiaries or any group of Subsidiaries of the Issuer that, taken together, would constitute a Significant Subsidiary of the Issuer; in each case all outstanding Notes of such series will become due and payable immediately without further action or notice. However, the effect of such provisions may be limited by applicable laws. If any other Event of Default occurs and is continuing with respect to any series of Notes, the Trustee or the holders, with a copy to the Trustee, of at least 30% in aggregate principal amount of the then outstanding Notes of such series may declare all the Notes of such series to be due and payable immediately; provided that no such declaration may be made with respect to or as a result of any action taken, and reported publicly or to holders of Notes, more than two years prior to such declaration.</w:t>
      </w:r>
    </w:p>
    <w:p>
      <w:pPr>
        <w:spacing w:after="0" w:line="78"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Subject to certain limitations, the holders of a majority in aggregate principal amount of the then outstanding Notes of such series may direct the Trustee in its exercise of any trust or power. The Trustee may withhold from holders of the Notes notice of any continuing Default or Event of Default if it determines that withholding notice is in their interest, except a Default or Event of Default in the payment of interest or premium, if any, on, or the principal of, the Notes of such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Subject to the provisions of the Indenture relating to the duties of the Trustee, the Trustee will be under no obligation to exercise any of the rights or powers under the Indenture at the request or direction of any holders of Notes unless such holders have offered to the Trustee indemnity or security satisfactory to it against any loss, liability or expense. Except to enforce the right to receive payment of principal, premium (if any) or interest when due, a holder may pursue a remedy with respect to the Indenture or the Notes of any series only if:</w:t>
      </w:r>
    </w:p>
    <w:p>
      <w:pPr>
        <w:spacing w:after="0" w:line="53"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w:t>
      </w:r>
    </w:p>
    <w:p>
      <w:pPr>
        <w:spacing w:after="0" w:line="117"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holders of at least 30% in aggregate principal amount of the then outstanding Notes of the applicable series have made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to the Trustee security or indemnity satisfactory to the Trustee against any loss, liability or expense to be incurred in compliance with such request;</w:t>
      </w:r>
    </w:p>
    <w:p>
      <w:pPr>
        <w:spacing w:after="0" w:line="15"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90 days after receipt of the request and the offer of indemnity or security; and</w:t>
      </w:r>
    </w:p>
    <w:p>
      <w:pPr>
        <w:spacing w:after="0" w:line="62" w:lineRule="exact"/>
        <w:rPr>
          <w:rFonts w:ascii="Arial" w:cs="Arial" w:eastAsia="Arial" w:hAnsi="Arial"/>
          <w:sz w:val="18"/>
          <w:szCs w:val="18"/>
          <w:color w:val="auto"/>
        </w:rPr>
      </w:pPr>
    </w:p>
    <w:p>
      <w:pPr>
        <w:ind w:left="1000" w:right="639" w:hanging="348"/>
        <w:spacing w:after="0" w:line="342"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such 90-day period, holders of a majority in aggregate principal amount of the then outstanding Notes of the applicable series have not given the Trustee a direction inconsistent with such request.</w:t>
      </w:r>
    </w:p>
    <w:p>
      <w:pPr>
        <w:spacing w:after="0" w:line="16"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a series by written notice to the Trustee may, on behalf of all holders of Notes of that series, rescind an acceleration or waive any existing Default or Event of Default in respect of such series of Notes and its consequences under the Indenture except a continuing Default or Event of Default in the payment of interest or premium, if any, on, or the principal of, the Notes of such series.</w:t>
      </w:r>
    </w:p>
    <w:p>
      <w:pPr>
        <w:spacing w:after="0" w:line="80"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Issuer and each Guarantor is required to deliver to the Trustee annually a statement regarding compliance with the Indenture. Within 30 days after becoming aware of any Default or Event of Default, the Issuer is required to deliver to the Trustee a statement specifying such Default or Event of Default unless such Default or Event of Default has been cured or waived in such period.</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No past, present or future director, officer, member, manager, partner,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Issuer may at any time, at the option of its Board of Directors evidenced by a resolution set forth in an officers’ certificate, elect to have all of its obligations discharged with respect to the outstanding Notes of any series and all obligations of the Guarantors discharged with respect to their Note Guarantees with respect to such series (“</w:t>
      </w:r>
      <w:r>
        <w:rPr>
          <w:rFonts w:ascii="Arial" w:cs="Arial" w:eastAsia="Arial" w:hAnsi="Arial"/>
          <w:sz w:val="17"/>
          <w:szCs w:val="17"/>
          <w:i w:val="1"/>
          <w:iCs w:val="1"/>
          <w:color w:val="auto"/>
        </w:rPr>
        <w:t>Legal Defeasance</w:t>
      </w:r>
      <w:r>
        <w:rPr>
          <w:rFonts w:ascii="Arial" w:cs="Arial" w:eastAsia="Arial" w:hAnsi="Arial"/>
          <w:sz w:val="17"/>
          <w:szCs w:val="17"/>
          <w:color w:val="auto"/>
        </w:rPr>
        <w:t>”) and cure all then existing Defaults and Events of Defaults except for:</w:t>
      </w:r>
    </w:p>
    <w:p>
      <w:pPr>
        <w:spacing w:after="0" w:line="63" w:lineRule="exact"/>
        <w:rPr>
          <w:sz w:val="20"/>
          <w:szCs w:val="20"/>
          <w:color w:val="auto"/>
        </w:rPr>
      </w:pPr>
    </w:p>
    <w:p>
      <w:pPr>
        <w:jc w:val="both"/>
        <w:ind w:left="1000" w:right="399" w:hanging="348"/>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rights of holders of outstanding Notes of such series to receive payments in respect of the principal of, or interest or premium, if any, on, the Notes when such payments are due from the trust referred to below;</w:t>
      </w:r>
    </w:p>
    <w:p>
      <w:pPr>
        <w:spacing w:after="0" w:line="15"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of such series concerning issuing temporary Notes, registration of Notes, mutilated, destroyed, lost or stolen Notes and the maintenance of an office or agency for payment of money for security payments held in trust;</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and the Issuer’s and the Guarantors’ obligations in connection therewith;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17" w:lineRule="exact"/>
        <w:rPr>
          <w:sz w:val="20"/>
          <w:szCs w:val="20"/>
          <w:color w:val="auto"/>
        </w:rPr>
      </w:pPr>
    </w:p>
    <w:p>
      <w:pPr>
        <w:ind w:left="300" w:right="579" w:firstLine="360"/>
        <w:spacing w:after="0" w:line="342" w:lineRule="auto"/>
        <w:rPr>
          <w:sz w:val="20"/>
          <w:szCs w:val="20"/>
          <w:color w:val="auto"/>
        </w:rPr>
      </w:pPr>
      <w:r>
        <w:rPr>
          <w:rFonts w:ascii="Arial" w:cs="Arial" w:eastAsia="Arial" w:hAnsi="Arial"/>
          <w:sz w:val="16"/>
          <w:szCs w:val="16"/>
          <w:color w:val="auto"/>
        </w:rPr>
        <w:t>In addition, the Issuer may, at its option and at any time with respect to any series of Notes, elect to have the obligations of the Issuer and the Guarantors released with respect to the provisions of the Indenture described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0" w:lineRule="auto"/>
        <w:rPr>
          <w:sz w:val="20"/>
          <w:szCs w:val="20"/>
          <w:color w:val="auto"/>
        </w:rPr>
      </w:pPr>
      <w:r>
        <w:rPr>
          <w:rFonts w:ascii="Arial" w:cs="Arial" w:eastAsia="Arial" w:hAnsi="Arial"/>
          <w:sz w:val="17"/>
          <w:szCs w:val="17"/>
          <w:color w:val="auto"/>
        </w:rPr>
        <w:t>above under “—Repurchase at the Option of Holders” and under the caption “—Certain Covenants” (other than the covenant described under the caption “—Certain Covenants—Merger, Consolidation or Sale of Assets,” except to the extent described below) and the limitation imposed by clause (4) under the caption “—Certain Covenants— Merger, Consolidation or Sale of Assets” (such release and termination being referred to as “</w:t>
      </w:r>
      <w:r>
        <w:rPr>
          <w:rFonts w:ascii="Arial" w:cs="Arial" w:eastAsia="Arial" w:hAnsi="Arial"/>
          <w:sz w:val="17"/>
          <w:szCs w:val="17"/>
          <w:i w:val="1"/>
          <w:iCs w:val="1"/>
          <w:color w:val="auto"/>
        </w:rPr>
        <w:t>Covenant</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and thereafter any omission to comply with such obligations or provisions will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or Event of Default with respect to such Notes. In the event Covenant Defeasance occurs with respect to any series of Notes in accordance with the Indenture, the Events of Default described under clauses (3) through (9) under the caption “—Events of Default and Remedies” (in the case of clauses (7) and (8), only with respect to the Issuer’s Subsidiaries) in each case, will no longer constitute an Event of Default.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any series of Notes:</w:t>
      </w:r>
    </w:p>
    <w:p>
      <w:pPr>
        <w:spacing w:after="0" w:line="129" w:lineRule="exact"/>
        <w:rPr>
          <w:sz w:val="20"/>
          <w:szCs w:val="20"/>
          <w:color w:val="auto"/>
        </w:rPr>
      </w:pPr>
    </w:p>
    <w:p>
      <w:pPr>
        <w:ind w:left="1000" w:right="339" w:hanging="348"/>
        <w:spacing w:after="0" w:line="287"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Issuer must irrevocably deposit with the Trustee or its designee, in trust, for the benefit of the holders of such series of Notes, cash in U.S. dollars, non-callable Government Securities, or a combination of cash in U.S. dollars and non-callable Government Securities, in such amounts as will be sufficient, in the opinion of a nationally recognized investment bank, appraisal firm or firm of independent public accountants, to pay the principal of, and premium,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Legal Defeasance or Covenant Defeasance that requires the payment of a premium, the amount deposited shall be sufficient for purposes of the Indenture to the extent that an amount is deposited with the Trustee equal to premium calculated as of the date of the deposit, with any deficit as of the maturity date only required to be deposited with the Trustee on or prior to the maturity date;</w:t>
      </w:r>
    </w:p>
    <w:p>
      <w:pPr>
        <w:spacing w:after="0" w:line="279" w:lineRule="exact"/>
        <w:rPr>
          <w:rFonts w:ascii="Arial" w:cs="Arial" w:eastAsia="Arial" w:hAnsi="Arial"/>
          <w:sz w:val="16"/>
          <w:szCs w:val="16"/>
          <w:color w:val="auto"/>
        </w:rPr>
      </w:pPr>
    </w:p>
    <w:p>
      <w:pPr>
        <w:ind w:left="1000" w:right="339" w:hanging="348"/>
        <w:spacing w:after="0" w:line="289"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Legal Defeasance, the Issuer must deliver to the Trustee an opinion of counsel reasonably acceptable to the Trustee (which opinion of counsel may be subject to customary assumptions, qualifications and exclusions) confirming that (a) the Issuer has received from, or there has been published by, the Internal Revenue Service a ruling or (b) since the date Notes of such series were first issued, there has been a change in the applicable U.S. federal income tax law, in either case to the effect that, and based thereon such opinion of counsel shall confirm that, the beneficial owners 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8" w:lineRule="exact"/>
        <w:rPr>
          <w:rFonts w:ascii="Arial" w:cs="Arial" w:eastAsia="Arial" w:hAnsi="Arial"/>
          <w:sz w:val="16"/>
          <w:szCs w:val="16"/>
          <w:color w:val="auto"/>
        </w:rPr>
      </w:pPr>
    </w:p>
    <w:p>
      <w:pPr>
        <w:ind w:left="1000" w:right="359" w:hanging="348"/>
        <w:spacing w:after="0" w:line="293"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case of Covenant Defeasance, the Issuer must deliver to the Trustee an opinion of counsel reasonably acceptable to the Trustee (which opinion of counsel may be subject to customary assumptions, qualifications and exclusions) confirming that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56" w:lineRule="exact"/>
        <w:rPr>
          <w:rFonts w:ascii="Arial" w:cs="Arial" w:eastAsia="Arial" w:hAnsi="Arial"/>
          <w:sz w:val="16"/>
          <w:szCs w:val="16"/>
          <w:color w:val="auto"/>
        </w:rPr>
      </w:pPr>
    </w:p>
    <w:p>
      <w:pPr>
        <w:ind w:left="1000" w:right="359" w:hanging="348"/>
        <w:spacing w:after="0" w:line="255"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with respect to such series of Notes on the date of such deposit (other than an Event of Default resulting from the borrowing of funds, or the imposition of Liens in connection therewith, to be applied to such deposit, or an Event of Default that will be cured by such Covenant Defeasance or Legal Defeasance) and the deposit will not result in a breach or violation of, or constitute a default under, any material instrument to which the Issuer or any Guarantor is a party or by which the Issuer or any Guarantor is bound;</w:t>
      </w:r>
    </w:p>
    <w:p>
      <w:pPr>
        <w:spacing w:after="0" w:line="84" w:lineRule="exact"/>
        <w:rPr>
          <w:rFonts w:ascii="Arial" w:cs="Arial" w:eastAsia="Arial" w:hAnsi="Arial"/>
          <w:sz w:val="18"/>
          <w:szCs w:val="18"/>
          <w:color w:val="auto"/>
        </w:rPr>
      </w:pPr>
    </w:p>
    <w:p>
      <w:pPr>
        <w:jc w:val="both"/>
        <w:ind w:left="1000" w:right="479" w:hanging="348"/>
        <w:spacing w:after="0" w:line="311"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the Issuer or any of its Subsidiaries is a party or by which the Issuer or any of its Subsidiaries is bound;</w:t>
      </w:r>
    </w:p>
    <w:p>
      <w:pPr>
        <w:spacing w:after="0" w:line="40" w:lineRule="exact"/>
        <w:rPr>
          <w:rFonts w:ascii="Arial" w:cs="Arial" w:eastAsia="Arial" w:hAnsi="Arial"/>
          <w:sz w:val="16"/>
          <w:szCs w:val="16"/>
          <w:color w:val="auto"/>
        </w:rPr>
      </w:pPr>
    </w:p>
    <w:p>
      <w:pPr>
        <w:ind w:left="1000" w:right="539" w:hanging="348"/>
        <w:spacing w:after="0" w:line="286"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308"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all conditions precedent relating to the Legal Defeasance or the Covenant Defeasance have been complied with; and</w:t>
      </w:r>
    </w:p>
    <w:p>
      <w:pPr>
        <w:spacing w:after="0" w:line="38" w:lineRule="exact"/>
        <w:rPr>
          <w:rFonts w:ascii="Arial" w:cs="Arial" w:eastAsia="Arial" w:hAnsi="Arial"/>
          <w:sz w:val="17"/>
          <w:szCs w:val="17"/>
          <w:color w:val="auto"/>
        </w:rPr>
      </w:pPr>
    </w:p>
    <w:p>
      <w:pPr>
        <w:ind w:left="1000" w:right="859" w:hanging="348"/>
        <w:spacing w:after="0" w:line="29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Issuer must deliver to the Trustee an opinion of counsel (which may be subject to customary assumptions, qualifications and exclusions), stating that all conditions precedent set forth in clauses</w:t>
      </w:r>
    </w:p>
    <w:p>
      <w:pPr>
        <w:ind w:left="1000"/>
        <w:spacing w:after="0"/>
        <w:rPr>
          <w:rFonts w:ascii="Arial" w:cs="Arial" w:eastAsia="Arial" w:hAnsi="Arial"/>
          <w:sz w:val="16"/>
          <w:szCs w:val="16"/>
          <w:color w:val="auto"/>
        </w:rPr>
      </w:pPr>
      <w:r>
        <w:rPr>
          <w:rFonts w:ascii="Arial" w:cs="Arial" w:eastAsia="Arial" w:hAnsi="Arial"/>
          <w:sz w:val="18"/>
          <w:szCs w:val="18"/>
          <w:color w:val="auto"/>
        </w:rPr>
        <w:t>(2) and (3) of this paragraph, as applicable, have been complied with.</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Except as provided in the next two succeeding paragraphs, the applicable Indenture with respect to the Notes of any series or the related Note Guarantees of the Notes of any series may be amended or supplemented with the consent of the holders of at least a majority in aggregate principal amount of the Notes of such series then outstanding (including consents obtained in connection with a purchase of, or tender offer or exchange offer for, Notes of such series), and any existing Default or Event of Default or compliance with any provision of the applicable Indenture with respect to such Notes or the related Note Guarantees may be waived with the consent of the holders of a majority in aggregate principal amount of the then outstanding Notes of such series</w:t>
      </w:r>
    </w:p>
    <w:p>
      <w:pPr>
        <w:spacing w:after="0" w:line="2" w:lineRule="exact"/>
        <w:rPr>
          <w:sz w:val="20"/>
          <w:szCs w:val="20"/>
          <w:color w:val="auto"/>
        </w:rPr>
      </w:pPr>
    </w:p>
    <w:p>
      <w:pPr>
        <w:ind w:left="300" w:right="819"/>
        <w:spacing w:after="0" w:line="260" w:lineRule="auto"/>
        <w:rPr>
          <w:sz w:val="20"/>
          <w:szCs w:val="20"/>
          <w:color w:val="auto"/>
        </w:rPr>
      </w:pPr>
      <w:r>
        <w:rPr>
          <w:rFonts w:ascii="Arial" w:cs="Arial" w:eastAsia="Arial" w:hAnsi="Arial"/>
          <w:sz w:val="18"/>
          <w:szCs w:val="18"/>
          <w:color w:val="auto"/>
        </w:rPr>
        <w:t>(including consents obtained in connection with a purchase of, or tender offer or exchange offer for, the Notes of such series).</w:t>
      </w:r>
    </w:p>
    <w:p>
      <w:pPr>
        <w:spacing w:after="0" w:line="77"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Without the consent of each holder of Notes of the applicable series affected, an amendment, supplement or waiver may not (with respect to any Notes of a particular series held by a non-consenting holder):</w:t>
      </w:r>
    </w:p>
    <w:p>
      <w:pPr>
        <w:spacing w:after="0" w:line="16" w:lineRule="exact"/>
        <w:rPr>
          <w:sz w:val="20"/>
          <w:szCs w:val="20"/>
          <w:color w:val="auto"/>
        </w:rPr>
      </w:pPr>
    </w:p>
    <w:p>
      <w:pPr>
        <w:ind w:left="1000" w:right="9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amount of Notes of such series whose holders must consent to an amendment, supplement or waiver;</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of such series or alter the provisions with respect to the redemption of the Notes of such series (other than notice periods for redemption and provisions relating to the covenants described above under the caption “—Repurchase at the Option of Holders”);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 of such series;</w:t>
      </w:r>
    </w:p>
    <w:p>
      <w:pPr>
        <w:spacing w:after="0" w:line="117"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the Notes of such series (except a rescission of acceleration of the Notes of such series by the holders of at least a majority in aggregate principal amount of the then outstanding Notes of such series and a waiver of the payment default that resulted from such acceleration);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make any Note of such series payable in money other than that stated in the Notes of such series;</w:t>
      </w:r>
    </w:p>
    <w:p>
      <w:pPr>
        <w:spacing w:after="0" w:line="12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of such series to receive payments of principal of, or interest or premium, if any, on, the Notes of such series;</w:t>
      </w:r>
    </w:p>
    <w:p>
      <w:pPr>
        <w:spacing w:after="0" w:line="75" w:lineRule="exact"/>
        <w:rPr>
          <w:rFonts w:ascii="Arial" w:cs="Arial" w:eastAsia="Arial" w:hAnsi="Arial"/>
          <w:sz w:val="18"/>
          <w:szCs w:val="18"/>
          <w:color w:val="auto"/>
        </w:rPr>
      </w:pPr>
    </w:p>
    <w:p>
      <w:pPr>
        <w:ind w:left="1000" w:right="359" w:hanging="348"/>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of such series (other than a payment required by the covenants described above under the caption “—Repurchase at the Option of Holders”);</w:t>
      </w:r>
    </w:p>
    <w:p>
      <w:pPr>
        <w:spacing w:after="0" w:line="38" w:lineRule="exact"/>
        <w:rPr>
          <w:rFonts w:ascii="Arial" w:cs="Arial" w:eastAsia="Arial" w:hAnsi="Arial"/>
          <w:sz w:val="17"/>
          <w:szCs w:val="17"/>
          <w:color w:val="auto"/>
        </w:rPr>
      </w:pPr>
    </w:p>
    <w:p>
      <w:pPr>
        <w:ind w:left="1000" w:right="599" w:hanging="348"/>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related Note Guarantee of the Notes of such series or the applicable Indenture, except in accordance with the terms of such Indenture; or</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preceding, without the consent of any holder of Notes, the Issuer, the Guarantors, and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Trustee may amend or supplement the applicable Indenture, the Notes of any series or the related Note Guarantees:</w:t>
      </w:r>
    </w:p>
    <w:p>
      <w:pPr>
        <w:spacing w:after="0" w:line="126" w:lineRule="exact"/>
        <w:rPr>
          <w:sz w:val="20"/>
          <w:szCs w:val="20"/>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holders of Notes of such series and related Note Guarantees in the case of a merger or consolidation or sale of all or substantially all of the Issuer’s or such Guarantor’s assets, as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71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effect the release of a Guarantor from its Note Guarantee in respect of such series of Notes and the termination of such Note Guarantee, all in accordance with the provisions of the applicable Indenture governing such release and termination;</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add any Guarantor or Note Guarantee with respect to such series or to secure the Notes of such series or the related Note Guarantee;</w:t>
      </w:r>
    </w:p>
    <w:p>
      <w:pPr>
        <w:spacing w:after="0" w:line="62"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of such series or that does not adversely affect the legal rights under the Indenture of any such holder in any material respect;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jc w:val="both"/>
        <w:ind w:left="1000" w:right="399" w:hanging="348"/>
        <w:spacing w:after="0" w:line="311"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the applicable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40" w:lineRule="exact"/>
        <w:rPr>
          <w:rFonts w:ascii="Arial" w:cs="Arial" w:eastAsia="Arial" w:hAnsi="Arial"/>
          <w:sz w:val="16"/>
          <w:szCs w:val="16"/>
          <w:color w:val="auto"/>
        </w:rPr>
      </w:pPr>
    </w:p>
    <w:p>
      <w:pPr>
        <w:ind w:left="1000" w:right="63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Notes as permitted by the Base Indenture;</w:t>
      </w:r>
    </w:p>
    <w:p>
      <w:pPr>
        <w:spacing w:after="0" w:line="62"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conform the text of the applicable supplemental indenture, the Notes of such series, or the related Note Guarantees to any provision of the “Description of Notes” section of this prospectus supplement applicable to such Note at the time of the initial sale thereof, in each case, as conclusively evidenced by an officers’ certificate;</w:t>
      </w:r>
    </w:p>
    <w:p>
      <w:pPr>
        <w:spacing w:after="0" w:line="78"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to provide for the issuance of additional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have the same terms as, and be deemed part of the same series as, the Notes of such series to the extent required under the applicable Indenture;</w:t>
      </w:r>
    </w:p>
    <w:p>
      <w:pPr>
        <w:spacing w:after="0" w:line="75"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evidence and provide for the acceptance of and appointment by a successor Trustee with respect to the Notes of such series and to add to or change any of the provisions of the Indenture as shall be necessary to provide for or facilitate the administration of the trust by more than one trustee; and</w:t>
      </w:r>
    </w:p>
    <w:p>
      <w:pPr>
        <w:spacing w:after="0" w:line="57" w:lineRule="exact"/>
        <w:rPr>
          <w:rFonts w:ascii="Arial" w:cs="Arial" w:eastAsia="Arial" w:hAnsi="Arial"/>
          <w:sz w:val="17"/>
          <w:szCs w:val="17"/>
          <w:color w:val="auto"/>
        </w:rPr>
      </w:pPr>
    </w:p>
    <w:p>
      <w:pPr>
        <w:ind w:left="1000" w:right="73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allow any Guarantor of the Notes of such series to execute a supplemental indenture and/or a Note Guarantee with respect to the Notes of such series.</w:t>
      </w:r>
    </w:p>
    <w:p>
      <w:pPr>
        <w:spacing w:after="0" w:line="62"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7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For the avoidance of doubt, no amendment to, or deletion of any of the covenants described under, “— Repurchase at the Option of Holders” or “—Certain Covenants,” or action taken in compliance with the covenants in effect at the time of such action, shall be deemed to impair or affect any legal rights of any holders of the Notes to receive payment of principal of or premium, if any, or interest on the Notes to institute suit for the enforcement of any payment on or with respect to such holder’s Notes.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applicable Indenture will be discharged and will cease to be of further effect as to the Notes of a series issued thereunder, when:</w:t>
      </w:r>
    </w:p>
    <w:p>
      <w:pPr>
        <w:spacing w:after="0" w:line="62"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360" w:right="399" w:hanging="348"/>
        <w:spacing w:after="0" w:line="286" w:lineRule="auto"/>
        <w:tabs>
          <w:tab w:leader="none" w:pos="13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7" w:lineRule="exact"/>
        <w:rPr>
          <w:rFonts w:ascii="Arial" w:cs="Arial" w:eastAsia="Arial" w:hAnsi="Arial"/>
          <w:sz w:val="17"/>
          <w:szCs w:val="17"/>
          <w:color w:val="auto"/>
        </w:rPr>
      </w:pPr>
    </w:p>
    <w:p>
      <w:pPr>
        <w:ind w:left="1360" w:right="359" w:hanging="348"/>
        <w:spacing w:after="0" w:line="296" w:lineRule="auto"/>
        <w:tabs>
          <w:tab w:leader="none" w:pos="13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Notes of such series that have not been delivered to the Trustee for cancellation have become due and payable by reason of the sending of a notice of redemption or otherwise or will become due and payable within one year and the Issuer or any Guarantor has irrevocably deposited or caused to be deposited with the Trustee or its designee as trust funds in trust solely for the benefit of the holders of such series of Notes, cash in U.S. dollars, non-callable Government Securities,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19"/>
        <w:spacing w:after="0" w:line="290" w:lineRule="auto"/>
        <w:rPr>
          <w:sz w:val="20"/>
          <w:szCs w:val="20"/>
          <w:color w:val="auto"/>
        </w:rPr>
      </w:pPr>
      <w:r>
        <w:rPr>
          <w:rFonts w:ascii="Arial" w:cs="Arial" w:eastAsia="Arial" w:hAnsi="Arial"/>
          <w:sz w:val="16"/>
          <w:szCs w:val="16"/>
          <w:color w:val="auto"/>
        </w:rPr>
        <w:t xml:space="preserve">a combination of cash in U.S. dollars and non-callable Government Securities, in such amounts as will be sufficient, without consideration of any reinvestment of interest, to pay and discharge the entire Indebtedness on the Notes of such series not delivered to the Trustee for cancellation for principal of, and premium, if any, and accrued interest to the date of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any redemption that requires the payment of a premium, the amount deposited 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w:t>
      </w:r>
    </w:p>
    <w:p>
      <w:pPr>
        <w:spacing w:after="0" w:line="57" w:lineRule="exact"/>
        <w:rPr>
          <w:sz w:val="20"/>
          <w:szCs w:val="20"/>
          <w:color w:val="auto"/>
        </w:rPr>
      </w:pPr>
    </w:p>
    <w:p>
      <w:pPr>
        <w:ind w:left="1000" w:right="49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or any Guarantor has paid or caused to be paid all sums payable by it under the Indenture with respect to the Notes of such series; and</w:t>
      </w:r>
    </w:p>
    <w:p>
      <w:pPr>
        <w:spacing w:after="0" w:line="62" w:lineRule="exact"/>
        <w:rPr>
          <w:rFonts w:ascii="Arial" w:cs="Arial" w:eastAsia="Arial" w:hAnsi="Arial"/>
          <w:sz w:val="18"/>
          <w:szCs w:val="18"/>
          <w:color w:val="auto"/>
        </w:rPr>
      </w:pPr>
    </w:p>
    <w:p>
      <w:pPr>
        <w:jc w:val="both"/>
        <w:ind w:left="1000" w:right="479" w:hanging="348"/>
        <w:spacing w:after="0" w:line="26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the Indenture to apply the deposited money toward the payment of the Notes of such series at maturity or on the redemption date, as the case may be.</w:t>
      </w:r>
    </w:p>
    <w:p>
      <w:pPr>
        <w:spacing w:after="0" w:line="76"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In addition, the Issuer must deliver to the Trustee (a) an officers’ certificate, stating that all conditions precedent set forth in clauses (1) through (3) above have been satisfied, and (b) an opinion of counsel (which opinion of counsel may be subject to customary assumptions, qualifications and exclusions), stating that all conditions precedent set forth in clause (3) above have been satisfied.</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 the Notes and the Note Guarantees will be governed by the laws of the State of New York.</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the Trustee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maintain ordinary banking relationships with Deutsche Bank Trust Company Americas and its affiliates.</w:t>
      </w:r>
    </w:p>
    <w:p>
      <w:pPr>
        <w:spacing w:after="0" w:line="12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when a Default is continuing it must eliminate such conflict within 90 days of the date such conflict arises, apply to the SEC for permission to continue as trustee or resign.</w:t>
      </w:r>
    </w:p>
    <w:p>
      <w:pPr>
        <w:spacing w:after="0" w:line="68"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the applicable series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such person’s own affairs.</w:t>
      </w:r>
    </w:p>
    <w:p>
      <w:pPr>
        <w:spacing w:after="0" w:line="80"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Subject to such provisions, the Trustee will be under no obligation to exercise any of its rights or powers under the Indenture at the request of any holder of Notes of the applicable series, unless such holder has offered to the Trustee security and indemnity satisfactory to it against any loss, liability or expense.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Set forth below are certain defined terms used in the applicable Indenture. Reference is made to the Indenture for a full disclosure of all defined terms used therein, as well as any other capitalized terms used herein for which no definition is provided.</w:t>
      </w:r>
    </w:p>
    <w:p>
      <w:pPr>
        <w:spacing w:after="0" w:line="76"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$1.75B Notes</w:t>
      </w:r>
      <w:r>
        <w:rPr>
          <w:rFonts w:ascii="Arial" w:cs="Arial" w:eastAsia="Arial" w:hAnsi="Arial"/>
          <w:sz w:val="16"/>
          <w:szCs w:val="16"/>
          <w:color w:val="auto"/>
        </w:rPr>
        <w:t>” means the $1,750,000,000 in principal amount of MetroPCS Wireless, Inc.’s 6.625% Senior Notes due 2023, issued as of March 19, 2013, pursuant to the Indenture, between MetroPCS Wireless, Inc.’s, MetroPCS, Inc., MetroPCS Communications, Inc., the guarantors party thereto, and Deutsche Bank Trust Company Americas, as supplemented by the First Supplemental Indenture dated March 19, 2013 or the Second Supplemental Indenture dated March 19, 2013 thereto, as applicable, as amended by the Third Supplemental Indenture dated April 29, 2013, as further supplemented by the Fourth Supplemental Indenture dated May 1, 2013, among T-Mobile USA, Inc., the guarantors party thereto and Deutsche Bank Trust Company Americas, as trustee, as further supplemented by the Fifth Supplemental Indenture, dated as of July 15, 2013, among T-Mobile USA, Inc., the guarantors party thereto and Deutsche Bank Trust Company Americas, as trustee, and as further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supplemented by the Sixth Supplemental Indenture, dated as of August 11, 2014, among T-Mobile USA, Inc., the guarantors party thereto and Deutsche Bank Trust Company Americas, as trustee (as so supplemented and amended, the “</w:t>
      </w:r>
      <w:r>
        <w:rPr>
          <w:rFonts w:ascii="Arial" w:cs="Arial" w:eastAsia="Arial" w:hAnsi="Arial"/>
          <w:sz w:val="18"/>
          <w:szCs w:val="18"/>
          <w:i w:val="1"/>
          <w:iCs w:val="1"/>
          <w:color w:val="auto"/>
        </w:rPr>
        <w:t>$1.75B Notes Indenture</w:t>
      </w:r>
      <w:r>
        <w:rPr>
          <w:rFonts w:ascii="Arial" w:cs="Arial" w:eastAsia="Arial" w:hAnsi="Arial"/>
          <w:sz w:val="18"/>
          <w:szCs w:val="18"/>
          <w:color w:val="auto"/>
        </w:rPr>
        <w:t>”), (ii) any additional 6.625% Senior Notes due 2023 issued under the $1.75B Notes Indenture as part of the same series, and (iii) any “Exchange Notes” (as defined in the $1.75B Notes Indenture) relating thereto.</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1000" w:right="339" w:hanging="348"/>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117" w:lineRule="exact"/>
        <w:rPr>
          <w:sz w:val="20"/>
          <w:szCs w:val="20"/>
          <w:color w:val="auto"/>
        </w:rPr>
      </w:pPr>
    </w:p>
    <w:p>
      <w:pPr>
        <w:ind w:left="300" w:right="679" w:firstLine="360"/>
        <w:spacing w:after="0" w:line="286" w:lineRule="auto"/>
        <w:rPr>
          <w:sz w:val="20"/>
          <w:szCs w:val="20"/>
          <w:color w:val="auto"/>
        </w:rPr>
      </w:pPr>
      <w:r>
        <w:rPr>
          <w:rFonts w:ascii="Arial" w:cs="Arial" w:eastAsia="Arial" w:hAnsi="Arial"/>
          <w:sz w:val="17"/>
          <w:szCs w:val="17"/>
          <w:color w:val="auto"/>
        </w:rPr>
        <w:t>The term “Acquired Debt” does not include Indebtedness of a Person that is redeemed, defeased, retired or otherwise repaid at the time of, or immediately upon, consummation of the transactions by which such Person becomes a Restricted Subsidiary or acquires such asset, as the case may be.</w:t>
      </w:r>
    </w:p>
    <w:p>
      <w:pPr>
        <w:spacing w:after="0" w:line="5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i w:val="1"/>
          <w:iCs w:val="1"/>
          <w:color w:val="auto"/>
        </w:rPr>
        <w:t>controlling</w:t>
      </w:r>
      <w:r>
        <w:rPr>
          <w:rFonts w:ascii="Arial" w:cs="Arial" w:eastAsia="Arial" w:hAnsi="Arial"/>
          <w:sz w:val="18"/>
          <w:szCs w:val="18"/>
          <w:color w:val="auto"/>
        </w:rPr>
        <w:t>,” “</w:t>
      </w:r>
      <w:r>
        <w:rPr>
          <w:rFonts w:ascii="Arial" w:cs="Arial" w:eastAsia="Arial" w:hAnsi="Arial"/>
          <w:sz w:val="18"/>
          <w:szCs w:val="18"/>
          <w:i w:val="1"/>
          <w:iCs w:val="1"/>
          <w:color w:val="auto"/>
        </w:rPr>
        <w:t>controlled by</w:t>
      </w:r>
      <w:r>
        <w:rPr>
          <w:rFonts w:ascii="Arial" w:cs="Arial" w:eastAsia="Arial" w:hAnsi="Arial"/>
          <w:sz w:val="18"/>
          <w:szCs w:val="18"/>
          <w:color w:val="auto"/>
        </w:rPr>
        <w:t>” and “</w:t>
      </w:r>
      <w:r>
        <w:rPr>
          <w:rFonts w:ascii="Arial" w:cs="Arial" w:eastAsia="Arial" w:hAnsi="Arial"/>
          <w:sz w:val="18"/>
          <w:szCs w:val="18"/>
          <w:i w:val="1"/>
          <w:iCs w:val="1"/>
          <w:color w:val="auto"/>
        </w:rPr>
        <w:t>under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with</w:t>
      </w:r>
      <w:r>
        <w:rPr>
          <w:rFonts w:ascii="Arial" w:cs="Arial" w:eastAsia="Arial" w:hAnsi="Arial"/>
          <w:sz w:val="18"/>
          <w:szCs w:val="18"/>
          <w:color w:val="auto"/>
        </w:rPr>
        <w:t>” have correlative meanings.</w:t>
      </w:r>
    </w:p>
    <w:p>
      <w:pPr>
        <w:spacing w:after="0" w:line="84"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as calculated by the Issuer and provided to the Trustee, means, with respect to any Note on any redemption date, the greater of:</w:t>
      </w:r>
    </w:p>
    <w:p>
      <w:pPr>
        <w:spacing w:after="0" w:line="62" w:lineRule="exact"/>
        <w:rPr>
          <w:sz w:val="20"/>
          <w:szCs w:val="20"/>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17" w:lineRule="exact"/>
        <w:rPr>
          <w:rFonts w:ascii="Arial" w:cs="Arial" w:eastAsia="Arial" w:hAnsi="Arial"/>
          <w:sz w:val="18"/>
          <w:szCs w:val="18"/>
          <w:color w:val="auto"/>
        </w:rPr>
      </w:pPr>
    </w:p>
    <w:p>
      <w:pPr>
        <w:ind w:left="1360" w:right="339" w:hanging="348"/>
        <w:spacing w:after="0" w:line="271" w:lineRule="auto"/>
        <w:tabs>
          <w:tab w:leader="none" w:pos="13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present value at such redemption date of (i) the redemption price of the Note at April 15, 2023, in the case of the 2026 Notes, at April 15, 2024, in the case of the 2029 Notes and at April 15, 2026, in the case of the 2031 Notes (such redemption price in each case being set in the applicable table appearing above under the caption “—Optional Redemption”), plus (ii) all required interest payments due on the Note through April 15, 2023, in the case of the 2026 Notes, April 15, 2024, in the case of the 2029 Notes and April 15, 2026, in the case of the 2031 Notes (excluding accrued but unpaid interest, if any, to the redemption date), computed using a discount rate equal to the Treasury Rate as of such redemption date plus 50 basis points; over</w:t>
      </w:r>
    </w:p>
    <w:p>
      <w:pPr>
        <w:spacing w:after="0" w:line="70" w:lineRule="exact"/>
        <w:rPr>
          <w:rFonts w:ascii="Arial" w:cs="Arial" w:eastAsia="Arial" w:hAnsi="Arial"/>
          <w:sz w:val="17"/>
          <w:szCs w:val="17"/>
          <w:color w:val="auto"/>
        </w:rPr>
      </w:pPr>
    </w:p>
    <w:p>
      <w:pPr>
        <w:ind w:left="1360" w:hanging="348"/>
        <w:spacing w:after="0"/>
        <w:tabs>
          <w:tab w:leader="none" w:pos="13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17" w:lineRule="exact"/>
        <w:rPr>
          <w:sz w:val="20"/>
          <w:szCs w:val="20"/>
          <w:color w:val="auto"/>
        </w:rPr>
      </w:pPr>
    </w:p>
    <w:p>
      <w:pPr>
        <w:ind w:left="1000" w:right="45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Investment by the Issuer (or any predecessor thereto) or any of its Restricted Subsidiaries in any other Person pursuant to which such Person shall become a Restricted Subsidiary or shall be merged into or consolidated with the Issuer or any of its Restricted Subsidiaries, or</w:t>
      </w:r>
    </w:p>
    <w:p>
      <w:pPr>
        <w:spacing w:after="0" w:line="75"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acquisition by the Issuer (or any predecessor thereto) or any of its Restricted Subsidiaries of the property and assets of any Person, other than the Issuer or any of its Restricted Subsidiaries, that constitute all or substantially all of a division, operating unit or line of business of such Person.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the Merger shall be deemed to be an Asset Acquisition.</w:t>
      </w:r>
    </w:p>
    <w:p>
      <w:pPr>
        <w:spacing w:after="0" w:line="117"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Disposition</w:t>
      </w:r>
      <w:r>
        <w:rPr>
          <w:rFonts w:ascii="Arial" w:cs="Arial" w:eastAsia="Arial" w:hAnsi="Arial"/>
          <w:sz w:val="18"/>
          <w:szCs w:val="18"/>
          <w:color w:val="auto"/>
        </w:rPr>
        <w:t>” means the sale or other disposition by the Issuer or any of its Restricted Subsidiaries other than to the Issuer or another Restricted Subsidiary of (1) all or substantially all of the Capital Stock owned by the Issuer or any of its Restricted Subsidiaries of any Restricted Subsidiary or any Person that is a Permitted Joint Venture Investment or (2) all or substantially all of the assets that constitute a division, operating unit or line of business of the Issuer or any of its Restricted Subsidiaries.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1000" w:right="359" w:hanging="348"/>
        <w:spacing w:after="0" w:line="254"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Issuer and its Restricted Subsidiaries taken as a whole will be governed by the provisions of the Indenture described above under the caption “—Repurchase at the Option of Holders—Change of Control Triggering Event” and/or the provisions described above under the caption “—Certain Covenants—Merger, Consolidation or Sale of Assets” and not by the provisions of the covenant described above under the caption “—Repurchase at the Option of Holders—Asset Sales”; and</w:t>
      </w:r>
    </w:p>
    <w:p>
      <w:pPr>
        <w:spacing w:after="0" w:line="86"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issuance of Equity Interests in any of the Issuer’s Restricted Subsidiaries or the sale by the Issuer or any Restricted Subsidiary thereof of Equity Interests in any of its Restricted Subsidiaries.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000" w:right="5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$100.0 million;</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sale, lease, conveyance or other disposition of assets or Equity Interests between or among the Issuer and/or its Restricted Subsidiaries;</w:t>
      </w:r>
    </w:p>
    <w:p>
      <w:pPr>
        <w:spacing w:after="0" w:line="62"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issuance or sale of Equity Interests by a Restricted Subsidiary of the Issuer to the Issuer or to a Restricted Subsidiary of the Issuer;</w:t>
      </w:r>
    </w:p>
    <w:p>
      <w:pPr>
        <w:spacing w:after="0" w:line="62" w:lineRule="exact"/>
        <w:rPr>
          <w:rFonts w:ascii="Arial" w:cs="Arial" w:eastAsia="Arial" w:hAnsi="Arial"/>
          <w:sz w:val="18"/>
          <w:szCs w:val="18"/>
          <w:color w:val="auto"/>
        </w:rPr>
      </w:pPr>
    </w:p>
    <w:p>
      <w:pPr>
        <w:ind w:left="1000" w:right="419" w:hanging="348"/>
        <w:spacing w:after="0" w:line="301"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sale, lease, sub-lease, conveyance or other disposition of (a) assets, products, services or accounts receivable in the ordinary course of business, (b) equipment or other assets pursuant to a program for the maintenance or upgrading of such equipment or assets, or (c) any sale, conveyance or other disposition of damaged, worn-out, uneconomic or obsolete assets in the ordinary course of business;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sale, conveyance or other disposition of cash or Cash Equivalents;</w:t>
      </w:r>
    </w:p>
    <w:p>
      <w:pPr>
        <w:spacing w:after="0" w:line="117" w:lineRule="exact"/>
        <w:rPr>
          <w:rFonts w:ascii="Arial" w:cs="Arial" w:eastAsia="Arial" w:hAnsi="Arial"/>
          <w:sz w:val="18"/>
          <w:szCs w:val="18"/>
          <w:color w:val="auto"/>
        </w:rPr>
      </w:pPr>
    </w:p>
    <w:p>
      <w:pPr>
        <w:ind w:left="1000" w:right="439" w:hanging="348"/>
        <w:spacing w:after="0" w:line="308"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surrender or waiver of contract rights or settlement, release or surrender of contract, tort or other claims in the ordinary course of business or a grant of a Lien not prohibited by the Indenture;</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w:t>
      </w:r>
    </w:p>
    <w:p>
      <w:pPr>
        <w:spacing w:after="0" w:line="62"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arms-length sales, leases or sub-leases (as lessor or sublessor), sale and leasebacks, assignments, conveyances, transfers or other dispositions of assets or rights to a Person that is a Permitted Joint Venture Investment;</w:t>
      </w:r>
    </w:p>
    <w:p>
      <w:pPr>
        <w:spacing w:after="0" w:line="75"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licenses and sales of intellectual property or other general intangibles (other than FCC Licenses) in the ordinary course of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Permitted Investment;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dispositions of assets to the ISIS Joint Venture;</w:t>
      </w:r>
    </w:p>
    <w:p>
      <w:pPr>
        <w:spacing w:after="0" w:line="117" w:lineRule="exact"/>
        <w:rPr>
          <w:rFonts w:ascii="Arial" w:cs="Arial" w:eastAsia="Arial" w:hAnsi="Arial"/>
          <w:sz w:val="18"/>
          <w:szCs w:val="18"/>
          <w:color w:val="auto"/>
        </w:rPr>
      </w:pPr>
    </w:p>
    <w:p>
      <w:pPr>
        <w:ind w:left="1000" w:right="1159" w:hanging="348"/>
        <w:spacing w:after="0" w:line="375" w:lineRule="auto"/>
        <w:tabs>
          <w:tab w:leader="none" w:pos="10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one or more sales, conveyances, leases, subleases, licenses, contributions, or other dispositions, assignments or transfers made as part of, or in connection with, the Towers Transaction;</w:t>
      </w: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settlement or early termination of any Permitted Bond Hedge Transaction; or</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issuance, disposition or sale of Equity Interests in, or Indebtedness, assets or other securities of, an Unrestricted Subsidiary.</w:t>
      </w:r>
    </w:p>
    <w:p>
      <w:pPr>
        <w:spacing w:after="0" w:line="62"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provision described under the caption “— Repurchase at the Option of Holders—Asset Sales.”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(11 U.S.C. Section 1.1 et seq.), as amended from time to time.</w:t>
      </w:r>
    </w:p>
    <w:p>
      <w:pPr>
        <w:spacing w:after="0" w:line="62"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or any similar federal, state or foreign law for the relief of debtors.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(a)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and (b) in the case of a “group” (as such term is used in Rule 13d-5(b)(1) under the Exchange Act) which group includes one or more Permitted Holders (or one or more Permitted Holders is deemed to share Beneficial Ownership with one or more other persons of any shares of Capital Stock), (i) such “group” shall be deemed not to have Beneficial Ownership of any shares held by such Permitted Holder and (ii) any person (other than such Permitted Holder) that is a member of such group (or sharing such Beneficial Ownership) shall be deemed not to have Beneficial Ownership of any shares held by such Permitted Holder (or in which any Permitted Holder shares Beneficial Ownership). The terms “</w:t>
      </w:r>
      <w:r>
        <w:rPr>
          <w:rFonts w:ascii="Arial" w:cs="Arial" w:eastAsia="Arial" w:hAnsi="Arial"/>
          <w:sz w:val="16"/>
          <w:szCs w:val="16"/>
          <w:i w:val="1"/>
          <w:iCs w:val="1"/>
          <w:color w:val="auto"/>
        </w:rPr>
        <w:t>Beneficially Owns</w:t>
      </w:r>
      <w:r>
        <w:rPr>
          <w:rFonts w:ascii="Arial" w:cs="Arial" w:eastAsia="Arial" w:hAnsi="Arial"/>
          <w:sz w:val="16"/>
          <w:szCs w:val="16"/>
          <w:color w:val="auto"/>
        </w:rPr>
        <w:t>,” “</w:t>
      </w:r>
      <w:r>
        <w:rPr>
          <w:rFonts w:ascii="Arial" w:cs="Arial" w:eastAsia="Arial" w:hAnsi="Arial"/>
          <w:sz w:val="16"/>
          <w:szCs w:val="16"/>
          <w:i w:val="1"/>
          <w:iCs w:val="1"/>
          <w:color w:val="auto"/>
        </w:rPr>
        <w:t>Beneficially Owned</w:t>
      </w:r>
      <w:r>
        <w:rPr>
          <w:rFonts w:ascii="Arial" w:cs="Arial" w:eastAsia="Arial" w:hAnsi="Arial"/>
          <w:sz w:val="16"/>
          <w:szCs w:val="16"/>
          <w:color w:val="auto"/>
        </w:rPr>
        <w:t>” and “</w:t>
      </w:r>
      <w:r>
        <w:rPr>
          <w:rFonts w:ascii="Arial" w:cs="Arial" w:eastAsia="Arial" w:hAnsi="Arial"/>
          <w:sz w:val="16"/>
          <w:szCs w:val="16"/>
          <w:i w:val="1"/>
          <w:iCs w:val="1"/>
          <w:color w:val="auto"/>
        </w:rPr>
        <w:t>Beneficial Ownership</w:t>
      </w:r>
      <w:r>
        <w:rPr>
          <w:rFonts w:ascii="Arial" w:cs="Arial" w:eastAsia="Arial" w:hAnsi="Arial"/>
          <w:sz w:val="16"/>
          <w:szCs w:val="16"/>
          <w:color w:val="auto"/>
        </w:rPr>
        <w:t>” have a corresponding meaning.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000" w:right="75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or managing member of the general partner of the partnership;</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with respect to any other Person, the board or committee of such Person serving a similar function.</w:t>
      </w:r>
    </w:p>
    <w:p>
      <w:pPr>
        <w:spacing w:after="0" w:line="129"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 Purchase Agreement</w:t>
      </w:r>
      <w:r>
        <w:rPr>
          <w:rFonts w:ascii="Arial" w:cs="Arial" w:eastAsia="Arial" w:hAnsi="Arial"/>
          <w:sz w:val="18"/>
          <w:szCs w:val="18"/>
          <w:color w:val="auto"/>
        </w:rPr>
        <w:t>” means the Asset Purchase Agreement, dated as of July 26, 2019, among Parent, Sprint Corporation and DISH Network Corporation and any exhibits attached thereto, as amended, restated, amended and restated, supplemented or otherwise modified or replaced (including a replacement involving different counterparties) from time to time.</w:t>
      </w:r>
    </w:p>
    <w:p>
      <w:pPr>
        <w:spacing w:after="0" w:line="79"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Bridge Credit Agreement</w:t>
      </w:r>
      <w:r>
        <w:rPr>
          <w:rFonts w:ascii="Arial" w:cs="Arial" w:eastAsia="Arial" w:hAnsi="Arial"/>
          <w:sz w:val="17"/>
          <w:szCs w:val="17"/>
          <w:color w:val="auto"/>
        </w:rPr>
        <w:t>” means the Bridge Term Loan Credit Agreement, dated April 1, 2020, by and among Parent, the Issuer, the subsidiaries of the Issuer party thereto, the financial institutions from time to time parties thereto and Goldman Sachs Bank USA, as administrative agent,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On April 9, 2020, all $19.0 billion of borrowings outstanding under the Bridge Credit Agreement were repaid in full.</w:t>
      </w:r>
    </w:p>
    <w:p>
      <w:pPr>
        <w:spacing w:after="0" w:line="69" w:lineRule="exact"/>
        <w:rPr>
          <w:sz w:val="20"/>
          <w:szCs w:val="20"/>
          <w:color w:val="auto"/>
        </w:rPr>
      </w:pPr>
    </w:p>
    <w:p>
      <w:pPr>
        <w:ind w:left="300" w:right="9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means that certain Business Combination Agreement, dated as of October 3, 2012, as amended from time to time, by and among Deutsche Telekom AG, T-Mobile Global Zwischenholding GmbH, T-Mobile Global Holding GmbH, the Issuer and MetroPCS Communications, Inc.</w:t>
      </w:r>
    </w:p>
    <w:p>
      <w:pPr>
        <w:spacing w:after="0" w:line="4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a legal holiday in the City of New York or in any place of payment with respect to the Notes on which banking institutions are authorized or required by law, regulation or executive order to close.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exempted company, shares;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respectively;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99" w:hanging="348"/>
        <w:spacing w:after="0" w:line="259"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Captive Insurance Subsidiary</w:t>
      </w:r>
      <w:r>
        <w:rPr>
          <w:rFonts w:ascii="Arial" w:cs="Arial" w:eastAsia="Arial" w:hAnsi="Arial"/>
          <w:sz w:val="18"/>
          <w:szCs w:val="18"/>
          <w:color w:val="auto"/>
        </w:rPr>
        <w:t>” means any direct or indirect Subsidiary of the Issuer that bears financial risk or exposure relating to insurance or reinsurance activities (including without limitation the Reinsurance Entity) and any segregated accounts associated with any such Person.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000" w:right="459" w:hanging="348"/>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United States dollars, pounds sterling, euros, the national currency of any member state of the European Union or any other foreign currencies held by the Issuer and its Restricted Subsidiaries from time to time in the ordinary course of business;</w:t>
      </w:r>
    </w:p>
    <w:p>
      <w:pPr>
        <w:spacing w:after="0" w:line="75" w:lineRule="exact"/>
        <w:rPr>
          <w:rFonts w:ascii="Arial" w:cs="Arial" w:eastAsia="Arial" w:hAnsi="Arial"/>
          <w:sz w:val="18"/>
          <w:szCs w:val="18"/>
          <w:color w:val="auto"/>
        </w:rPr>
      </w:pPr>
    </w:p>
    <w:p>
      <w:pPr>
        <w:ind w:left="1000" w:right="379" w:hanging="348"/>
        <w:spacing w:after="0" w:line="296"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government of the United States of America, the United Kingdom or any country that is a member state of the European Union or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of America, the United Kingdom or the relevant member state of the European Union, as the case may be, is pledged in support of those securities) having maturities of not more than two years from the date of acquisition;</w:t>
      </w:r>
    </w:p>
    <w:p>
      <w:pPr>
        <w:spacing w:after="0" w:line="53" w:lineRule="exact"/>
        <w:rPr>
          <w:rFonts w:ascii="Arial" w:cs="Arial" w:eastAsia="Arial" w:hAnsi="Arial"/>
          <w:sz w:val="16"/>
          <w:szCs w:val="16"/>
          <w:color w:val="auto"/>
        </w:rPr>
      </w:pPr>
    </w:p>
    <w:p>
      <w:pPr>
        <w:ind w:left="1000" w:right="419" w:hanging="348"/>
        <w:spacing w:after="0" w:line="279"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demand deposits, certificates of deposit and eurodollar time deposits with maturities of six months or less from the date of acquisition, bankers’ acceptances with maturities not exceeding one year and overnight bank deposits, in each case, with any domestic commercial bank having capital and surplus in excess of $500.0 million and a Thomson Bank Watch Rating of “B” or better;</w:t>
      </w:r>
    </w:p>
    <w:p>
      <w:pPr>
        <w:spacing w:after="0" w:line="63" w:lineRule="exact"/>
        <w:rPr>
          <w:rFonts w:ascii="Arial" w:cs="Arial" w:eastAsia="Arial" w:hAnsi="Arial"/>
          <w:sz w:val="17"/>
          <w:szCs w:val="17"/>
          <w:color w:val="auto"/>
        </w:rPr>
      </w:pPr>
    </w:p>
    <w:p>
      <w:pPr>
        <w:ind w:left="1000" w:right="359" w:hanging="348"/>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commercial paper having one of the two highest ratings obtainable from a Rating Agency at the date of acquisition and, in each case, maturing within one year after the date of acquisition;</w:t>
      </w:r>
    </w:p>
    <w:p>
      <w:pPr>
        <w:spacing w:after="0" w:line="38" w:lineRule="exact"/>
        <w:rPr>
          <w:rFonts w:ascii="Arial" w:cs="Arial" w:eastAsia="Arial" w:hAnsi="Arial"/>
          <w:sz w:val="17"/>
          <w:szCs w:val="17"/>
          <w:color w:val="auto"/>
        </w:rPr>
      </w:pPr>
    </w:p>
    <w:p>
      <w:pPr>
        <w:ind w:left="1000" w:right="359" w:hanging="348"/>
        <w:spacing w:after="0" w:line="311"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securities issued and fully guaranteed by any state, commonwealth or territory of the United States, or by any political subdivision or agency or instrumentality thereof, rated at least “A” by a Rating Agency at the date of acquisition and having maturities of not more than two years after the date of acquisition;</w:t>
      </w:r>
    </w:p>
    <w:p>
      <w:pPr>
        <w:spacing w:after="0" w:line="40" w:lineRule="exact"/>
        <w:rPr>
          <w:rFonts w:ascii="Arial" w:cs="Arial" w:eastAsia="Arial" w:hAnsi="Arial"/>
          <w:sz w:val="16"/>
          <w:szCs w:val="16"/>
          <w:color w:val="auto"/>
        </w:rPr>
      </w:pPr>
    </w:p>
    <w:p>
      <w:pPr>
        <w:ind w:left="1000" w:right="43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auction rate securities rated at least “AA-” or “Aa3” by a Rating Agency at the time of purchase and with reset dates of one year or less from the time of purchase;</w:t>
      </w:r>
    </w:p>
    <w:p>
      <w:pPr>
        <w:spacing w:after="0" w:line="62" w:lineRule="exact"/>
        <w:rPr>
          <w:rFonts w:ascii="Arial" w:cs="Arial" w:eastAsia="Arial" w:hAnsi="Arial"/>
          <w:sz w:val="18"/>
          <w:szCs w:val="18"/>
          <w:color w:val="auto"/>
        </w:rPr>
      </w:pPr>
    </w:p>
    <w:p>
      <w:pPr>
        <w:ind w:left="1000" w:right="599" w:hanging="348"/>
        <w:spacing w:after="0" w:line="301"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investments, classified in accordance with GAAP as current assets of the Issuer or any of its Restricted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49" w:lineRule="exact"/>
        <w:rPr>
          <w:rFonts w:ascii="Arial" w:cs="Arial" w:eastAsia="Arial" w:hAnsi="Arial"/>
          <w:sz w:val="16"/>
          <w:szCs w:val="16"/>
          <w:color w:val="auto"/>
        </w:rPr>
      </w:pPr>
    </w:p>
    <w:p>
      <w:pPr>
        <w:ind w:left="1000" w:right="69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62" w:lineRule="exact"/>
        <w:rPr>
          <w:rFonts w:ascii="Arial" w:cs="Arial" w:eastAsia="Arial" w:hAnsi="Arial"/>
          <w:sz w:val="18"/>
          <w:szCs w:val="18"/>
          <w:color w:val="auto"/>
        </w:rPr>
      </w:pPr>
    </w:p>
    <w:p>
      <w:pPr>
        <w:ind w:left="1000" w:right="83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prior to the occurrence of an Investment Grade Event Election:</w:t>
      </w:r>
    </w:p>
    <w:p>
      <w:pPr>
        <w:spacing w:after="0" w:line="117" w:lineRule="exact"/>
        <w:rPr>
          <w:rFonts w:ascii="Arial" w:cs="Arial" w:eastAsia="Arial" w:hAnsi="Arial"/>
          <w:sz w:val="18"/>
          <w:szCs w:val="18"/>
          <w:color w:val="auto"/>
        </w:rPr>
      </w:pPr>
    </w:p>
    <w:p>
      <w:pPr>
        <w:ind w:left="1360" w:right="319" w:hanging="348"/>
        <w:spacing w:after="0" w:line="257" w:lineRule="auto"/>
        <w:tabs>
          <w:tab w:leader="none" w:pos="1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Issuer and its Restricted Subsidiaries taken as a whole to any “person” (as that term is used in Section 13(d) of the Exchange Act) other than any such disposition to a Restricted Subsidiary or a Permitted Holder;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Issuer;</w:t>
      </w:r>
    </w:p>
    <w:p>
      <w:pPr>
        <w:spacing w:after="0" w:line="117" w:lineRule="exact"/>
        <w:rPr>
          <w:rFonts w:ascii="Arial" w:cs="Arial" w:eastAsia="Arial" w:hAnsi="Arial"/>
          <w:sz w:val="18"/>
          <w:szCs w:val="18"/>
          <w:color w:val="auto"/>
        </w:rPr>
      </w:pPr>
    </w:p>
    <w:p>
      <w:pPr>
        <w:ind w:left="1360" w:right="459" w:hanging="348"/>
        <w:spacing w:after="0" w:line="257"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(as defined above),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79" w:lineRule="exact"/>
        <w:rPr>
          <w:rFonts w:ascii="Arial" w:cs="Arial" w:eastAsia="Arial" w:hAnsi="Arial"/>
          <w:sz w:val="18"/>
          <w:szCs w:val="18"/>
          <w:color w:val="auto"/>
        </w:rPr>
      </w:pPr>
    </w:p>
    <w:p>
      <w:pPr>
        <w:ind w:left="1360" w:hanging="34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w:t>
      </w:r>
    </w:p>
    <w:p>
      <w:pPr>
        <w:spacing w:after="0" w:line="117" w:lineRule="exact"/>
        <w:rPr>
          <w:rFonts w:ascii="Arial" w:cs="Arial" w:eastAsia="Arial" w:hAnsi="Arial"/>
          <w:sz w:val="18"/>
          <w:szCs w:val="18"/>
          <w:color w:val="auto"/>
        </w:rPr>
      </w:pPr>
    </w:p>
    <w:p>
      <w:pPr>
        <w:ind w:left="1360" w:right="439" w:hanging="348"/>
        <w:spacing w:after="0" w:line="257" w:lineRule="auto"/>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Parent and its Subsidiaries taken as a whole to any “person” (as that term is used in Section 13(d) of the Exchange Act) other than any such disposition to a Subsidiary of Parent or a Permitted Holder;</w:t>
      </w:r>
    </w:p>
    <w:p>
      <w:pPr>
        <w:spacing w:after="0" w:line="79" w:lineRule="exact"/>
        <w:rPr>
          <w:rFonts w:ascii="Arial" w:cs="Arial" w:eastAsia="Arial" w:hAnsi="Arial"/>
          <w:sz w:val="18"/>
          <w:szCs w:val="18"/>
          <w:color w:val="auto"/>
        </w:rPr>
      </w:pPr>
    </w:p>
    <w:p>
      <w:pPr>
        <w:ind w:left="1360" w:right="379" w:hanging="348"/>
        <w:spacing w:after="0" w:line="296" w:lineRule="auto"/>
        <w:tabs>
          <w:tab w:leader="none" w:pos="13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consummation of any transaction (including any merger or consolidation), the result of which is that any “person” (as such term is used in Section 13(d) of the Exchange Act),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53" w:lineRule="exact"/>
        <w:rPr>
          <w:rFonts w:ascii="Arial" w:cs="Arial" w:eastAsia="Arial" w:hAnsi="Arial"/>
          <w:sz w:val="16"/>
          <w:szCs w:val="16"/>
          <w:color w:val="auto"/>
        </w:rPr>
      </w:pPr>
    </w:p>
    <w:p>
      <w:pPr>
        <w:ind w:left="1360" w:hanging="348"/>
        <w:spacing w:after="0"/>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4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has the meaning assigned to that term in the provision described under the caption “—Repurchase at the Option of Holders—Change of Control Triggering Event.”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with respect to any series of the Notes means:</w:t>
      </w:r>
    </w:p>
    <w:p>
      <w:pPr>
        <w:spacing w:after="0" w:line="117" w:lineRule="exact"/>
        <w:rPr>
          <w:sz w:val="20"/>
          <w:szCs w:val="20"/>
          <w:color w:val="auto"/>
        </w:rPr>
      </w:pPr>
    </w:p>
    <w:p>
      <w:pPr>
        <w:ind w:left="1000" w:right="359" w:hanging="348"/>
        <w:spacing w:after="0" w:line="286" w:lineRule="auto"/>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prior to the occurrence of an Investment Grade Event Election, with respect to any series of Notes, the occurrence of a Change of Control (x) that is accompanied or followed by a downgrade by one or more gradations (including gradations within ratings categories as well as between ratings categories) or withdrawal of the rating of such series of Notes within the Ratings Decline Period by at least two out of the three Rating Agencies and (y) the rating of such series of Notes on any day during such Ratings Decline Period is below the rating by each such Rating Agency in effect immediately preceding the first public announcement of the Change of Control (or occurrence thereof if such Change of Control occurs prior to public announcement),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making the relevant decision(s) referred to above to downgrade or withdraw such ratings, as applicable, the relevant Rating Agency announces publicly or confirms in writing during such Ratings Decline Period that such decision(s) resulted, in whole or in part, from the occurrence (or expected occurrence) of such Change of Control or the announcement of the intention to effect such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Change of Control Triggering Event shall be deemed to occur if at the time of the applicable downgrade the rating of such series of Notes by at least two out of the three Rating Agencies is Investment Grade; and</w:t>
      </w:r>
    </w:p>
    <w:p>
      <w:pPr>
        <w:spacing w:after="0" w:line="62" w:lineRule="exact"/>
        <w:rPr>
          <w:rFonts w:ascii="Arial" w:cs="Arial" w:eastAsia="Arial" w:hAnsi="Arial"/>
          <w:sz w:val="16"/>
          <w:szCs w:val="16"/>
          <w:color w:val="auto"/>
        </w:rPr>
      </w:pPr>
    </w:p>
    <w:p>
      <w:pPr>
        <w:ind w:left="1000" w:right="75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following the occurrence of an Investment Grade Event Election, the occurrence of both a Change of Control and a Rating Event.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on which the Merger was consummated, or May 1, 2013.</w:t>
      </w:r>
    </w:p>
    <w:p>
      <w:pPr>
        <w:spacing w:after="0" w:line="11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62" w:lineRule="exact"/>
        <w:rPr>
          <w:sz w:val="20"/>
          <w:szCs w:val="20"/>
          <w:color w:val="auto"/>
        </w:rPr>
      </w:pPr>
    </w:p>
    <w:p>
      <w:pPr>
        <w:jc w:val="both"/>
        <w:ind w:left="1000" w:right="759" w:hanging="348"/>
        <w:spacing w:after="0" w:line="263"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to the extent that such Consolidated Interest Expense was deducted in computing such Consolidated Net Income;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000" w:right="319" w:hanging="348"/>
        <w:spacing w:after="0" w:line="291" w:lineRule="auto"/>
        <w:tabs>
          <w:tab w:leader="none" w:pos="1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non-cash impairment charges and any write-off or write-down or amortization of intangibles but excluding amortization of ordinary course prepaid cash expenses that were paid in a prior period)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Restricted Subsidiaries for such period to the extent that such depreciation, amortization and other non-cash expenses or charges were deducted in computing such Consolidated Net Income; </w:t>
      </w:r>
      <w:r>
        <w:rPr>
          <w:rFonts w:ascii="Arial" w:cs="Arial" w:eastAsia="Arial" w:hAnsi="Arial"/>
          <w:sz w:val="16"/>
          <w:szCs w:val="16"/>
          <w:i w:val="1"/>
          <w:iCs w:val="1"/>
          <w:color w:val="auto"/>
        </w:rPr>
        <w:t>plus</w:t>
      </w:r>
    </w:p>
    <w:p>
      <w:pPr>
        <w:spacing w:after="0" w:line="58" w:lineRule="exact"/>
        <w:rPr>
          <w:rFonts w:ascii="Arial" w:cs="Arial" w:eastAsia="Arial" w:hAnsi="Arial"/>
          <w:sz w:val="16"/>
          <w:szCs w:val="16"/>
          <w:color w:val="auto"/>
        </w:rPr>
      </w:pPr>
    </w:p>
    <w:p>
      <w:pPr>
        <w:ind w:left="1000" w:right="519" w:hanging="348"/>
        <w:spacing w:after="0" w:line="291" w:lineRule="auto"/>
        <w:tabs>
          <w:tab w:leader="none" w:pos="1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the Towers Transaction,</w:t>
      </w:r>
    </w:p>
    <w:p>
      <w:pPr>
        <w:ind w:left="1000" w:right="379"/>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(b) any fees, expenses or charges related to any sale or offering of Equity Interests of such Person or Parent, any acquisition or disposition or any Indebtedness, in each case that is permitted to be incurred hereunder (in each case, whether or not successful), or the offering, amendment or modification of any debt instrument, including the offering, any amendment or other modification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Cash Flow shall not be deemed to be increased by more than $250.0 million in any twelve-month period pursuant to this clause (b), (c) any premium, penalty or fee paid in relation to any repayment, prepayment or repurchase of Indebtedness, (d) any fees or expenses relating to the Transactions and the offering, issuance and sale (in each case, whether or not successful) of the DT Notes and any “Exchange Notes” (as defined in the Base Indenture) issued in respect thereof and the Permitted MetroPCS Notes and any “Exchange Notes” (as defined in the $1.75B Notes Indenture), and (e) restructuring charges, integration costs (including retention, relocation and contract termination costs) and related costs and charges; </w:t>
      </w:r>
      <w:r>
        <w:rPr>
          <w:rFonts w:ascii="Arial" w:cs="Arial" w:eastAsia="Arial" w:hAnsi="Arial"/>
          <w:sz w:val="17"/>
          <w:szCs w:val="17"/>
          <w:i w:val="1"/>
          <w:iCs w:val="1"/>
          <w:color w:val="auto"/>
        </w:rPr>
        <w:t>plus</w:t>
      </w:r>
    </w:p>
    <w:p>
      <w:pPr>
        <w:spacing w:after="0" w:line="76" w:lineRule="exact"/>
        <w:rPr>
          <w:rFonts w:ascii="Arial" w:cs="Arial" w:eastAsia="Arial" w:hAnsi="Arial"/>
          <w:sz w:val="16"/>
          <w:szCs w:val="16"/>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New Market Losses;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jc w:val="both"/>
        <w:ind w:left="1000" w:right="919" w:hanging="348"/>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the Issuer that is not a Subsidiary Guarantor will be added to Consolidated Net Income to compute Consolidated Cash Flow of the Issuer only to the extent that a corresponding amount would be permitted at the date of determination to be dividended to the Issuer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58" w:lineRule="exact"/>
        <w:rPr>
          <w:sz w:val="20"/>
          <w:szCs w:val="20"/>
          <w:color w:val="auto"/>
        </w:rPr>
      </w:pPr>
    </w:p>
    <w:p>
      <w:pPr>
        <w:jc w:val="both"/>
        <w:ind w:left="300" w:right="459" w:firstLine="360"/>
        <w:spacing w:after="0" w:line="263" w:lineRule="auto"/>
        <w:rPr>
          <w:sz w:val="20"/>
          <w:szCs w:val="20"/>
          <w:color w:val="auto"/>
        </w:rPr>
      </w:pPr>
      <w:r>
        <w:rPr>
          <w:rFonts w:ascii="Arial" w:cs="Arial" w:eastAsia="Arial" w:hAnsi="Arial"/>
          <w:sz w:val="18"/>
          <w:szCs w:val="18"/>
          <w:color w:val="auto"/>
        </w:rPr>
        <w:t>For the avoidance of doubt, calculations of “Consolidated Cash Flow” of the Issuer for any period prior to the Closing Date for purposes of calculating the Debt to Cash Flow Ratio shall be on a pro forma basis as described in the last paragraph of the definition of “</w:t>
      </w:r>
      <w:r>
        <w:rPr>
          <w:rFonts w:ascii="Arial" w:cs="Arial" w:eastAsia="Arial" w:hAnsi="Arial"/>
          <w:sz w:val="18"/>
          <w:szCs w:val="18"/>
          <w:i w:val="1"/>
          <w:iCs w:val="1"/>
          <w:color w:val="auto"/>
        </w:rPr>
        <w:t>Debt to Cash Flow Ratio</w:t>
      </w:r>
      <w:r>
        <w:rPr>
          <w:rFonts w:ascii="Arial" w:cs="Arial" w:eastAsia="Arial" w:hAnsi="Arial"/>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Indebtedness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54"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prior to the occurrence of an Investment Grade Event Election, with respect to any Person as of any date of determination, the sum, without duplication, of (i) the total amount of Indebtedness of such Person and its Restricted Subsidiaries, plus (ii) the total amount of Indebtedness of any other Person, to the extent that such Indebtedness has been Guaranteed by the referent Person or one or more of its Restricted Subsidiaries, plus (iii) the aggregate liquidation value of all Disqualified Stock of such Person and all Preferred Stock of Subsidiaries of such Person, in each case, determined on a consolidated basis in accordance with GAAP.</w:t>
      </w:r>
    </w:p>
    <w:p>
      <w:pPr>
        <w:spacing w:after="0" w:line="86" w:lineRule="exact"/>
        <w:rPr>
          <w:rFonts w:ascii="Arial" w:cs="Arial" w:eastAsia="Arial" w:hAnsi="Arial"/>
          <w:sz w:val="18"/>
          <w:szCs w:val="18"/>
          <w:color w:val="auto"/>
        </w:rPr>
      </w:pPr>
    </w:p>
    <w:p>
      <w:pPr>
        <w:ind w:left="1000" w:right="339" w:hanging="348"/>
        <w:spacing w:after="0" w:line="311"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following the occurrence of an Investment Grade Event Election, with respect to any Person as of any date of determination, the sum, without duplication, of (i) the total amount of Specified Indebtedness of such Person and its Subsidiaries described in clauses (1)(a) and (b) (excluding, for the avoidance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39"/>
        <w:spacing w:after="0" w:line="270" w:lineRule="auto"/>
        <w:rPr>
          <w:sz w:val="20"/>
          <w:szCs w:val="20"/>
          <w:color w:val="auto"/>
        </w:rPr>
      </w:pPr>
      <w:r>
        <w:rPr>
          <w:rFonts w:ascii="Arial" w:cs="Arial" w:eastAsia="Arial" w:hAnsi="Arial"/>
          <w:sz w:val="17"/>
          <w:szCs w:val="17"/>
          <w:color w:val="auto"/>
        </w:rPr>
        <w:t>doubt, surety bonds, performance bonds and similar instruments) of the definition of Specified Indebtedness, determined on a consolidated basis, to the extent required to be recorded on a balance sheet in accordance with GAAP, including, without duplication, the outstanding principal amount of the Notes; provided that Consolidated Indebtedness shall not include (w) Specified Indebtedness incurred in connection with any Permitted Tower Financing or other special purpose entity financing (other than Specified Indebtedness incurred by a Permitted Spectrum Financing Subsidiary, including the Existing Sprint Spectrum-Backed Notes), (x) obligations in respect of letters of credit, except to the extent of any unreimbursed amounts thereunder or (y) Specified Indebtedness constituting Financing Lease Obligations, purchase money debt or other similar Specified Indebtedness.</w:t>
      </w:r>
    </w:p>
    <w:p>
      <w:pPr>
        <w:spacing w:after="0" w:line="73"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ind w:left="1000" w:right="319" w:hanging="348"/>
        <w:spacing w:after="0" w:line="255"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 interest expense on that portion of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Restricted Subsidiaries; times (b) a fraction, the numerator of which is one and the denominator of which is one minus the then current combined federal, state and local statutory tax rate of such Person, expressed as a decimal;</w:t>
      </w:r>
    </w:p>
    <w:p>
      <w:pPr>
        <w:spacing w:after="0" w:line="79" w:lineRule="exact"/>
        <w:rPr>
          <w:sz w:val="20"/>
          <w:szCs w:val="20"/>
          <w:color w:val="auto"/>
        </w:rPr>
      </w:pPr>
    </w:p>
    <w:p>
      <w:pPr>
        <w:ind w:left="300" w:right="479" w:firstLine="360"/>
        <w:spacing w:after="0" w:line="290" w:lineRule="auto"/>
        <w:rPr>
          <w:sz w:val="20"/>
          <w:szCs w:val="20"/>
          <w:color w:val="auto"/>
        </w:rPr>
      </w:pPr>
      <w:r>
        <w:rPr>
          <w:rFonts w:ascii="Arial" w:cs="Arial" w:eastAsia="Arial" w:hAnsi="Arial"/>
          <w:sz w:val="16"/>
          <w:szCs w:val="16"/>
          <w:color w:val="auto"/>
        </w:rPr>
        <w:t>in each case, on a consolidated basis and in accordance with GAAP; excluding, however, any amount of such interest of any Restricted Subsidiary of the referent Person if the net income of such Restricted Subsidiary is excluded in the calculation of Consolidated Net Income pursuant to clause (2) of the definition thereof (but only in the same proportion as the net income of such Restricted Subsidiary is excluded from the calculation of Consolidated Net Income pursuant to clause (2) of the definition thereof). Notwithstanding the foregoing, if any lease or other liability is reclassified as indebtedness or as a Financing Lease Obligation due to a change in accounting principles or the application thereof after the Closing Date, the interest component of all payments associated with such lease or other liability shall be excluded from Consolidated Interest Expense.</w:t>
      </w:r>
    </w:p>
    <w:p>
      <w:pPr>
        <w:spacing w:after="0" w:line="57"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000" w:right="599" w:hanging="348"/>
        <w:spacing w:after="0" w:line="286"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positive Net Income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spacing w:after="0" w:line="57" w:lineRule="exact"/>
        <w:rPr>
          <w:rFonts w:ascii="Arial" w:cs="Arial" w:eastAsia="Arial" w:hAnsi="Arial"/>
          <w:sz w:val="17"/>
          <w:szCs w:val="17"/>
          <w:color w:val="auto"/>
        </w:rPr>
      </w:pPr>
    </w:p>
    <w:p>
      <w:pPr>
        <w:ind w:left="1000" w:right="339" w:hanging="348"/>
        <w:spacing w:after="0" w:line="271"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solely for the purpose of determining the amount available for Restricted Payments under clause (c)(i) of the covenant described above under the caption “—Certain Covenants—Restricted Payments” the Net Income of any Restricted Subsidiary that is not a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70" w:lineRule="exact"/>
        <w:rPr>
          <w:rFonts w:ascii="Arial" w:cs="Arial" w:eastAsia="Arial" w:hAnsi="Arial"/>
          <w:sz w:val="17"/>
          <w:szCs w:val="17"/>
          <w:color w:val="auto"/>
        </w:rPr>
      </w:pPr>
    </w:p>
    <w:p>
      <w:pPr>
        <w:ind w:left="1000" w:right="39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will be excluded;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739" w:hanging="348"/>
        <w:spacing w:after="0" w:line="263"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 and</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3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with respect to any Person, the aggregate amount of assets (less applicable reserves and other properly deductible items) after deducting therefrom (1) all current liabilities, except for (a) notes and loans payable, (b) current maturities of long-term debt and (c) current maturities of obligations under Financing Lease Obligations,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determined on a consolidated basis in accordance with GAAP consistently applied, as determined on a Pro Forma Basis for the most recently ended Test Period.</w:t>
      </w:r>
    </w:p>
    <w:p>
      <w:pPr>
        <w:spacing w:after="0" w:line="73" w:lineRule="exact"/>
        <w:rPr>
          <w:sz w:val="20"/>
          <w:szCs w:val="20"/>
          <w:color w:val="auto"/>
        </w:rPr>
      </w:pPr>
    </w:p>
    <w:p>
      <w:pPr>
        <w:jc w:val="both"/>
        <w:ind w:left="300" w:right="3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with respect to any Person, at the date of any determination, the consolidated stockholders’ or owners’ equity of the holders of Capital Stock of such Person and its Subsidiaries, determined on a consolidated basis in accordance with GAAP consistently applied, as determined on a Pro Forma Basis.</w:t>
      </w:r>
    </w:p>
    <w:p>
      <w:pPr>
        <w:spacing w:after="0" w:line="4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the consolidated total assets of such Person and its Subsidiaries as set forth on the most recent balance sheet of such Person prepared in accordance with GAAP, as determined on a Pro Forma Basis.</w:t>
      </w:r>
    </w:p>
    <w:p>
      <w:pPr>
        <w:spacing w:after="0" w:line="76"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Contribution Indebtedness</w:t>
      </w:r>
      <w:r>
        <w:rPr>
          <w:rFonts w:ascii="Arial" w:cs="Arial" w:eastAsia="Arial" w:hAnsi="Arial"/>
          <w:sz w:val="16"/>
          <w:szCs w:val="16"/>
          <w:color w:val="auto"/>
        </w:rPr>
        <w:t>” means, Indebtedness in an aggregate principal amount at any one time outstanding, including all Permitted Refinancing Indebtedness incurred to renew, refund, refinance, replace, defease or discharge such Indebtedness, not to exceed 150% of the aggregate amount of all Net Equity Proceeds.</w:t>
      </w:r>
    </w:p>
    <w:p>
      <w:pPr>
        <w:spacing w:after="0" w:line="4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Debt</w:t>
      </w:r>
      <w:r>
        <w:rPr>
          <w:rFonts w:ascii="Arial" w:cs="Arial" w:eastAsia="Arial" w:hAnsi="Arial"/>
          <w:sz w:val="18"/>
          <w:szCs w:val="18"/>
          <w:color w:val="auto"/>
        </w:rPr>
        <w:t>” means Indebtedness of the Issuer (which may be Guaranteed by the Guarantors) permitted to be incurred hereunder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and/or cash (in an amount determined by reference to the price of such common stock).</w:t>
      </w:r>
    </w:p>
    <w:p>
      <w:pPr>
        <w:spacing w:after="0" w:line="84"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 of the Trustee</w:t>
      </w:r>
      <w:r>
        <w:rPr>
          <w:rFonts w:ascii="Arial" w:cs="Arial" w:eastAsia="Arial" w:hAnsi="Arial"/>
          <w:sz w:val="16"/>
          <w:szCs w:val="16"/>
          <w:color w:val="auto"/>
        </w:rPr>
        <w:t>” means, solely for purposes of presenting Notes, Deutsche Bank Trust Company Americas located at 60 Wall Street, New York, NY 10005, and, for all other purposes, the office of the Trustee at which any time its corporate trust business will be administered, which at the date hereof is located at 60 Wall Street,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56"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(a) the Credit Agreement, dated April 1, 2020, by and among Parent, the Issuer, the subsidiaries of the Issuer party thereto, the financial institutions from time to time parties thereto and Deutsche Bank AG New York Branch, as administrative agent, together with the related documents thereto (including any term loans and revolving loans thereunder, any guarantees and security documents), as further amended, extended, renewed, restated, replaced, supplemented or otherwise modified (in whole or in part, and without limitation as to amount, terms, conditions, covenants and other provisions) from time to time, and (b) any agreement (and related document) governing indebtedness which is incurred to Refinance, in whole or in part, the borrowings and commitments then outstanding or permitted to be outstanding under such Credit Agreement or a successor Credit Agreement, whether by the same or any other lender or group of lenders.</w:t>
      </w:r>
    </w:p>
    <w:p>
      <w:pPr>
        <w:spacing w:after="0" w:line="73" w:lineRule="exact"/>
        <w:rPr>
          <w:sz w:val="20"/>
          <w:szCs w:val="20"/>
          <w:color w:val="auto"/>
        </w:rPr>
      </w:pPr>
    </w:p>
    <w:p>
      <w:pPr>
        <w:ind w:left="300" w:right="6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other Indebtedness, whether in the form of loans or securities (including the Credit Agreement), financing leases, purchase money financings or commercial paper facilities, providing for revolving credit loans, term loans, receivables financing (including through the sale of receivables to such lenders or to special purpose entities formed to borrow from such lenders against such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311" w:lineRule="auto"/>
        <w:rPr>
          <w:sz w:val="20"/>
          <w:szCs w:val="20"/>
          <w:color w:val="auto"/>
        </w:rPr>
      </w:pPr>
      <w:r>
        <w:rPr>
          <w:rFonts w:ascii="Arial" w:cs="Arial" w:eastAsia="Arial" w:hAnsi="Arial"/>
          <w:sz w:val="16"/>
          <w:szCs w:val="16"/>
          <w:color w:val="auto"/>
        </w:rPr>
        <w:t>receivables), financing leases, purchase money debt, debt securities or letters of credit, in each case, as amended, restated, modified, renewed, refunded, replaced (whether upon or after termination or otherwise) or refinanced (including, in each case, by means of sales of debt securities) in whole or in part from time to time.</w:t>
      </w:r>
    </w:p>
    <w:p>
      <w:pPr>
        <w:spacing w:after="0" w:line="4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 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other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to Cash Flow Ratio</w:t>
      </w:r>
      <w:r>
        <w:rPr>
          <w:rFonts w:ascii="Arial" w:cs="Arial" w:eastAsia="Arial" w:hAnsi="Arial"/>
          <w:sz w:val="18"/>
          <w:szCs w:val="18"/>
          <w:color w:val="auto"/>
        </w:rPr>
        <w:t>” means, with respect to any Person as of any date of determination, the ratio of (a) the Consolidated Indebtedness of such Person as of such date, less cash and Cash Equivalents, to (b) the Consolidated Cash Flow of such Person for the four most recent full fiscal quarters ending immediately prior to such date for which internal financial statements are available.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117" w:lineRule="exact"/>
        <w:rPr>
          <w:sz w:val="20"/>
          <w:szCs w:val="20"/>
          <w:color w:val="auto"/>
        </w:rPr>
      </w:pPr>
    </w:p>
    <w:p>
      <w:pPr>
        <w:ind w:left="1000" w:right="319" w:hanging="348"/>
        <w:spacing w:after="0" w:line="275"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pro forma effect shall be given to Asset Dispositions and Asset Acquisitions (including the Merger and including giving pro forma effect to any related financing transactions and the application of proceeds of any Asset Disposition) that occur during such four-quarter period or subsequent to such four quarter period but on or prior to the date on which the Debt to Cash Flow Ratio is to be calculated as if they had occurred and such proceeds had been applied on the first day of such four-quarter period;</w:t>
      </w:r>
    </w:p>
    <w:p>
      <w:pPr>
        <w:spacing w:after="0" w:line="68" w:lineRule="exact"/>
        <w:rPr>
          <w:rFonts w:ascii="Arial" w:cs="Arial" w:eastAsia="Arial" w:hAnsi="Arial"/>
          <w:sz w:val="17"/>
          <w:szCs w:val="17"/>
          <w:color w:val="auto"/>
        </w:rPr>
      </w:pPr>
    </w:p>
    <w:p>
      <w:pPr>
        <w:ind w:left="1000" w:right="319" w:hanging="348"/>
        <w:spacing w:after="0" w:line="270"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pro forma effect shall be given to asset dispositions and, asset acquisitions (including giving pro forma effect to any related financing transactions and the application of proceeds of any asset disposition) that have been made by any Person that has become a Restricted Subsidiary of the Issuer or has been merged with or into the Issuer (including MetroPCS Wireless, Inc.) or any Restricted Subsidiary during such four-quarter period or subsequent to such four quarter period but on or prior to the date on which the Debt to Cash Flow Ratio is to be calculated and that would have constituted Asset Dispositions or Asset Acquisitions had such transactions occurred when such Person was a Restricted Subsidiary, as if such asset dispositions or asset acquisitions were Asset Dispositions or Asset Acquisitions that occurred on the first day of such four-quarter period;</w:t>
      </w:r>
    </w:p>
    <w:p>
      <w:pPr>
        <w:spacing w:after="0" w:line="72" w:lineRule="exact"/>
        <w:rPr>
          <w:rFonts w:ascii="Arial" w:cs="Arial" w:eastAsia="Arial" w:hAnsi="Arial"/>
          <w:sz w:val="17"/>
          <w:szCs w:val="17"/>
          <w:color w:val="auto"/>
        </w:rPr>
      </w:pPr>
    </w:p>
    <w:p>
      <w:pPr>
        <w:ind w:left="1000" w:right="399" w:hanging="348"/>
        <w:spacing w:after="0" w:line="273"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the extent that the pro forma effect of any transaction is to be made pursuant to clause (1) or (2) above, 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Consolidated Cash Flow for such reference period shall be calculated without giving effect to clause (3) of the proviso set forth in the definition of Consolidated Net Income;</w:t>
      </w:r>
    </w:p>
    <w:p>
      <w:pPr>
        <w:spacing w:after="0" w:line="69" w:lineRule="exact"/>
        <w:rPr>
          <w:rFonts w:ascii="Arial" w:cs="Arial" w:eastAsia="Arial" w:hAnsi="Arial"/>
          <w:sz w:val="17"/>
          <w:szCs w:val="17"/>
          <w:color w:val="auto"/>
        </w:rPr>
      </w:pPr>
    </w:p>
    <w:p>
      <w:pPr>
        <w:ind w:left="1000" w:right="339" w:hanging="348"/>
        <w:spacing w:after="0" w:line="286"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and operations or businesses disposed of (without duplication of clauses (1) and (2) above) prior to the date on which the Debt to Cash Flow Ratio is to be calculated, shall be excluded;</w:t>
      </w:r>
    </w:p>
    <w:p>
      <w:pPr>
        <w:spacing w:after="0" w:line="57" w:lineRule="exact"/>
        <w:rPr>
          <w:rFonts w:ascii="Arial" w:cs="Arial" w:eastAsia="Arial" w:hAnsi="Arial"/>
          <w:sz w:val="17"/>
          <w:szCs w:val="17"/>
          <w:color w:val="auto"/>
        </w:rPr>
      </w:pPr>
    </w:p>
    <w:p>
      <w:pPr>
        <w:jc w:val="both"/>
        <w:ind w:left="1000" w:right="81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date on which the Debt to Cash Flow Ratio is to be calculated will be deemed to have been a Restricted Subsidiary at all times during such four-quarter period; and</w:t>
      </w:r>
    </w:p>
    <w:p>
      <w:pPr>
        <w:spacing w:after="0" w:line="75"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date on which the Debt to Cash Flow Ratio is to be calculated will be deemed not to have been a Restricted Subsidiary at any time during such four-quarter period.</w:t>
      </w:r>
    </w:p>
    <w:p>
      <w:pPr>
        <w:spacing w:after="0" w:line="76"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For the avoidance of doubt, if the Debt to Cash Flow Ratio is determined for any period commencing prior to the date that is four fiscal quarters after the fiscal quarter during which the Closing Date occurs, the Debt to Cash Flow Ratio shall be calculated giving pro forma effect to the Transactions as if the Transactions had occurred on the first day of the four quarter reference period.</w:t>
      </w:r>
    </w:p>
    <w:p>
      <w:pPr>
        <w:spacing w:after="0" w:line="79"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December 2012 Sixth Supplemental Indenture</w:t>
      </w:r>
      <w:r>
        <w:rPr>
          <w:rFonts w:ascii="Arial" w:cs="Arial" w:eastAsia="Arial" w:hAnsi="Arial"/>
          <w:sz w:val="18"/>
          <w:szCs w:val="18"/>
          <w:color w:val="auto"/>
        </w:rPr>
        <w:t>” means the Sixth Supplemental Indenture, dated as of December 14, 2012, among MetroPCS Wireless, Inc., the guarantors party thereto and Wells Fargo Bank, N.A., as trustee, to the September 2010 Senior Notes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Entity</w:t>
      </w:r>
      <w:r>
        <w:rPr>
          <w:rFonts w:ascii="Arial" w:cs="Arial" w:eastAsia="Arial" w:hAnsi="Arial"/>
          <w:sz w:val="18"/>
          <w:szCs w:val="18"/>
          <w:color w:val="auto"/>
        </w:rPr>
        <w:t>” means (i) Iowa Wireless Services LLC, a Delaware limited liability company, or (ii) any Designated Tower Entity.</w:t>
      </w:r>
    </w:p>
    <w:p>
      <w:pPr>
        <w:spacing w:after="0" w:line="62"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Facilitie</w:t>
      </w:r>
      <w:r>
        <w:rPr>
          <w:rFonts w:ascii="Arial" w:cs="Arial" w:eastAsia="Arial" w:hAnsi="Arial"/>
          <w:sz w:val="18"/>
          <w:szCs w:val="18"/>
          <w:color w:val="auto"/>
        </w:rPr>
        <w:t>s” means one or more letter of credit facilities entered into from time to time by the Issuer or a Subsidiary providing in aggregate for up to $300.0 million in availability (in each case as may be amended, supplemented or otherwise modified from time to time).</w:t>
      </w:r>
    </w:p>
    <w:p>
      <w:pPr>
        <w:spacing w:after="0" w:line="7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Non-cash Consideration</w:t>
      </w:r>
      <w:r>
        <w:rPr>
          <w:rFonts w:ascii="Arial" w:cs="Arial" w:eastAsia="Arial" w:hAnsi="Arial"/>
          <w:sz w:val="17"/>
          <w:szCs w:val="17"/>
          <w:color w:val="auto"/>
        </w:rPr>
        <w:t>” means the Fair Market Value (as determined in good faith by the Issuer) of non-cash consideration received by the Issuer or a Restricted Subsidiary in connection with an Asset Sale that is so designated as Designated Non-cash Consideration pursuant to an officers’ certificate, setting forth such valuation, less the amount of cash and Cash Equivalents received in connection with a subsequent sale of, or other receipt of cash and Cash Equivalents in respect of, such Designated Non-cash Consideration.</w:t>
      </w:r>
    </w:p>
    <w:p>
      <w:pPr>
        <w:spacing w:after="0" w:line="68"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Tower Entity</w:t>
      </w:r>
      <w:r>
        <w:rPr>
          <w:rFonts w:ascii="Arial" w:cs="Arial" w:eastAsia="Arial" w:hAnsi="Arial"/>
          <w:sz w:val="16"/>
          <w:szCs w:val="16"/>
          <w:color w:val="auto"/>
        </w:rPr>
        <w:t>” means any entity established solely or primarily for the limited purpose of holding wireless communications sites, towers, and related contracts, equipment, improvements, real estate, and other assets, and performing other activities incidental thereto or in connection with the Towers Transaction. For the avoidance of doubt, T-Mobile USA Tower LLC and T-Mobile West Tower LLC are each Designated Tower Entities.</w:t>
      </w:r>
    </w:p>
    <w:p>
      <w:pPr>
        <w:spacing w:after="0" w:line="49"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with respect to Notes of any series,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of the applicable series mature;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class of Capital Stock of such Person that, by its terms, requires such Person to satisfy in full its obligations with respect to the payment of dividends or upon maturity, redemption (pursuant to a sinking fund or otherwise) or repurchase thereof or otherwise by the delivery of Capital Stock, and that is not convertible, puttable or exchangeable for cash, Disqualified Stock or Indebtedness, will not be deemed to be Disqualified Stock, so long as such Person satisfies its obligations with respect thereto solely by the delivery of Capital Stock. Notwithstanding the preceding sentence, any Capital Stock that would constitute Disqualified Stock solely because the holders of the Capital Stock have the right to require the Issuer to repurchase such Capital Stock upon the occurrence of a change of control or an asset sale will not constitute Disqualified Stock if the terms of such Capital Stock provide that the Issuer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the Issuer that is not a Foreign Subsidiary.</w:t>
      </w:r>
    </w:p>
    <w:p>
      <w:pPr>
        <w:spacing w:after="0" w:line="11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w:t>
      </w:r>
      <w:r>
        <w:rPr>
          <w:rFonts w:ascii="Arial" w:cs="Arial" w:eastAsia="Arial" w:hAnsi="Arial"/>
          <w:sz w:val="18"/>
          <w:szCs w:val="18"/>
          <w:color w:val="auto"/>
        </w:rPr>
        <w:t xml:space="preserve">” means Deutsche Telekom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organized and existing under the laws of the Federal Republic of Germany.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 Notes</w:t>
      </w:r>
      <w:r>
        <w:rPr>
          <w:rFonts w:ascii="Arial" w:cs="Arial" w:eastAsia="Arial" w:hAnsi="Arial"/>
          <w:sz w:val="18"/>
          <w:szCs w:val="18"/>
          <w:color w:val="auto"/>
        </w:rPr>
        <w:t>” shall have the meaning assigned to such term in the Business Combination Agreement.</w:t>
      </w:r>
    </w:p>
    <w:p>
      <w:pPr>
        <w:spacing w:after="0" w:line="11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62"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any Subsidiary of Parent that is, at any time of determination, (i) not a Wholly-Owned Subsidiary, (ii) an Immaterial Subsidiary, (iii) a Foreign Subsidiary, (iv) a Domestic Subsidiary that is (x) a FSHCO or (y) a direct or indirect Subsidiary of a Foreign Subsidiary that is a CFC, (v) an “Unrestricted Subsidiary” (or the equivalent thereof) under the Credit Agreement, (vi) a not-for-profit Subsidiary, (vii) a Captive Insurance Subsidiary, (viii) a special purpose securitization vehicle (or similar entity), including any Permitted Receivables Financing Subsidiary, any Permitted Spectrum Financing Subsidiary or any Permitted Tower Financing Subsidiary, or any of their respective Subsidiaries, (ix) prohibited from guaranteeing the Specified Obligations by any applicable law (including financial assistance, fraudulent conveyance, preference,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2" w:lineRule="auto"/>
        <w:rPr>
          <w:sz w:val="20"/>
          <w:szCs w:val="20"/>
          <w:color w:val="auto"/>
        </w:rPr>
      </w:pPr>
      <w:r>
        <w:rPr>
          <w:rFonts w:ascii="Arial" w:cs="Arial" w:eastAsia="Arial" w:hAnsi="Arial"/>
          <w:sz w:val="16"/>
          <w:szCs w:val="16"/>
          <w:color w:val="auto"/>
        </w:rPr>
        <w:t xml:space="preserve">thin capitalization or other similar laws or regulations) or by any contractual requirement existing on the date of the consummation of the Sprint Merger or on the date of the acquisition of such Subsidiary or the date such Subsidiary became a “Restricted Subsidiary” under the Credit Agreement (in each case not created in contemplation of such acquisition or of such Restricted Subsidiary becoming such a Restricted Subsidiary) (and for so long as such restriction or any replacement or renewal thereof is in effect), including any requirement to obtain the consent, approval, license or authorization of a Governmental Authority or third party (other than the Issuer or any Guarantor or “Restricted Subsidiary” under the Credit Agreement) (unless such consent, approval, license or authorization has been obtained), (x) [reserved], (xi) with respect to which the provision of a guarantee would, in the reasonable good faith determination of the Issuer in consultation with the administrative agent under the Credit Agreement (for so long as the Credit Agreement is outstanding), be expected to result in materially adverse tax or regulatory consequences to the Issuer or any of its Subsidiaries or (xii) with respect to which the Issuer and the administrative agent under the Credit Agreement (for so long as the Credit Agreement is outstanding) reasonably determine the cost or other consequences of providing a guarantee is likely to be excessive in relation to the value to be afforded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the Issuer may in its sole discretion designate any Excluded Subsidiary as a Subsidiary Guarantor and may, thereafter, re-designate such Subsidiary as an Excluded Subsidiary (so long as such Subsidiary otherwise then qualifies as an Excluded Subsidiary pursuant to any of clauses</w:t>
      </w:r>
    </w:p>
    <w:p>
      <w:pPr>
        <w:spacing w:after="0" w:line="11" w:lineRule="exact"/>
        <w:rPr>
          <w:sz w:val="20"/>
          <w:szCs w:val="20"/>
          <w:color w:val="auto"/>
        </w:rPr>
      </w:pPr>
    </w:p>
    <w:p>
      <w:pPr>
        <w:ind w:left="300" w:right="379" w:hanging="8"/>
        <w:spacing w:after="0" w:line="267" w:lineRule="auto"/>
        <w:tabs>
          <w:tab w:leader="none" w:pos="5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through (xii) above), upon which re-designation such Subsidiary shall automatically be released from its Note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so long as the Credit Agreement is outstanding, in the case of any designation (or re-designation) of any Subsidiary that is not a Domestic Subsidiary as a Subsidiary Guarantor, (x) the jurisdiction of such Subsidiary shall be reasonably satisfactory to the administrative agent under the Credit Agreement and (y) the administrative agent under the Credit Agreement shall have received at least 3 Business Days prior to such Subsidiary becoming a Subsidiary Guarantor, all documentation and other information required by regulatory authorities with respect to such Subsidiary under applicable “know your customer” and anti-money laundering rules and regulations, including, without limitation, the PATRIOT Act, in each case as reasonably requested by the administrative agent under the Credit Agreement at least 10 Business Days prior to such Subsidiary becoming a Subsidiary Guarantor and (b) no Subsidiary of Parent that provides a guarantee of the Existing T-Mobile Unsecured Notes shall constitute an Excluded Subsidiary.</w:t>
      </w:r>
    </w:p>
    <w:p>
      <w:pPr>
        <w:spacing w:after="0" w:line="78"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(a) Indebtedness of the Issuer and its Subsidiaries (other than Indebtedness in respect of the DT Notes) in existence on the Closing Date, until such amounts are repaid, (b) (1) the $1.75B Notes in existence on the Closing Date (and any “Exchange Notes” (as defined in the $1.75B Notes Indenture) relating thereto), and (2) all other Indebtedness of MetroPCS Wireless, Inc. and its Subsidiaries in existence on the Closing Date that was not incurred in violation of the terms of the Business Combination Agreement, in each case until such amounts are repaid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Indebtedness incurred in contemplation of the Transactions, including any Indebtedness in the form of the $1.75B Notes and notes issued on the date of the Base Indenture, in each case permitted by this clause (b), shall not exceed $20.5 billion).</w:t>
      </w:r>
    </w:p>
    <w:p>
      <w:pPr>
        <w:spacing w:after="0" w:line="57"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Receivables Financing Subsidiaries</w:t>
      </w:r>
      <w:r>
        <w:rPr>
          <w:rFonts w:ascii="Arial" w:cs="Arial" w:eastAsia="Arial" w:hAnsi="Arial"/>
          <w:sz w:val="18"/>
          <w:szCs w:val="18"/>
          <w:color w:val="auto"/>
        </w:rPr>
        <w:t>” means each of T-Mobile Airtime Funding LLC, T-Mobile Handset Funding LLC, SFE 1, LLC and SFE 2, LLC, together with their successors and assigns and any Subsidiary of the foregoing.</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Financing Documents</w:t>
      </w:r>
      <w:r>
        <w:rPr>
          <w:rFonts w:ascii="Arial" w:cs="Arial" w:eastAsia="Arial" w:hAnsi="Arial"/>
          <w:sz w:val="18"/>
          <w:szCs w:val="18"/>
          <w:color w:val="auto"/>
        </w:rPr>
        <w:t>” means the Existing Sprint Spectrum-Backed Notes, the Existing Sprint Spectrum Indenture, the Initial Spectrum Performance Agreement, the Intra-Company Spectrum Lease Agreement, dated as of October 27, 2016, among certain of the Existing Sprint Spectrum Note Entities, Sprint Communications, Inc., and the other parties thereto, each “Transaction Document” (as defined in the Existing Sprint Spectrum Indenture) and each other document related thereto, in each case as amended, supplemented or otherwise modified from time to time.</w:t>
      </w:r>
    </w:p>
    <w:p>
      <w:pPr>
        <w:spacing w:after="0" w:line="84"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Sprint Spectrum Indenture</w:t>
      </w:r>
      <w:r>
        <w:rPr>
          <w:rFonts w:ascii="Arial" w:cs="Arial" w:eastAsia="Arial" w:hAnsi="Arial"/>
          <w:sz w:val="17"/>
          <w:szCs w:val="17"/>
          <w:color w:val="auto"/>
        </w:rPr>
        <w:t>” means the Indenture, dated as of October 27, 2016, by and among Sprint Spectrum Co LLC, Sprint Spectrum Co II LLC, Sprint Spectrum Co III LLC, and Deutsche Bank Trust Company Americas, as trustee, as amended, supplemented or otherwise modified from time to time, including as supplemented with respect to each series of Existing Sprint Spectrum-Backed Notes.</w:t>
      </w:r>
    </w:p>
    <w:p>
      <w:pPr>
        <w:spacing w:after="0" w:line="63"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Issuers</w:t>
      </w:r>
      <w:r>
        <w:rPr>
          <w:rFonts w:ascii="Arial" w:cs="Arial" w:eastAsia="Arial" w:hAnsi="Arial"/>
          <w:sz w:val="18"/>
          <w:szCs w:val="18"/>
          <w:color w:val="auto"/>
        </w:rPr>
        <w:t>” means Sprint Spectrum Co LLC, Sprint Spectrum Co II LLC, Sprint Spectrum Co III LLC, and their successors and assigns.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Spectrum Note Entities</w:t>
      </w:r>
      <w:r>
        <w:rPr>
          <w:rFonts w:ascii="Arial" w:cs="Arial" w:eastAsia="Arial" w:hAnsi="Arial"/>
          <w:sz w:val="16"/>
          <w:szCs w:val="16"/>
          <w:color w:val="auto"/>
        </w:rPr>
        <w:t>” means, collectively, each of Sprint Spectrum Depositor LLC, Sprint Spectrum Depositor II LLC, Sprint Spectrum Depositor III LLC,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56"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Transaction</w:t>
      </w:r>
      <w:r>
        <w:rPr>
          <w:rFonts w:ascii="Arial" w:cs="Arial" w:eastAsia="Arial" w:hAnsi="Arial"/>
          <w:sz w:val="18"/>
          <w:szCs w:val="18"/>
          <w:color w:val="auto"/>
        </w:rPr>
        <w:t>” means the transactions contemplated by the Existing Sprint Spectrum Financing Documents, including the issuance of any Existing Sprint Spectrum-Backed Notes.</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Spectrum-Backed Notes</w:t>
      </w:r>
      <w:r>
        <w:rPr>
          <w:rFonts w:ascii="Arial" w:cs="Arial" w:eastAsia="Arial" w:hAnsi="Arial"/>
          <w:sz w:val="18"/>
          <w:szCs w:val="18"/>
          <w:color w:val="auto"/>
        </w:rPr>
        <w:t>” means the Existing Sprint Spectrum Issuers’ Series 2018-1 4.738% Senior Secured Notes, Class A-1, Series 2018-1 5.152% Senior Secured Notes, Class A-2, Series 2016-1 3.360% Senior Secured Notes, Class A-1, and any other note or series of notes issued under the Existing Sprint Spectrum Indenture from time to time.</w:t>
      </w:r>
    </w:p>
    <w:p>
      <w:pPr>
        <w:spacing w:after="0" w:line="79" w:lineRule="exact"/>
        <w:rPr>
          <w:sz w:val="20"/>
          <w:szCs w:val="20"/>
          <w:color w:val="auto"/>
        </w:rPr>
      </w:pPr>
    </w:p>
    <w:p>
      <w:pPr>
        <w:ind w:left="300" w:right="33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Unsecured Notes</w:t>
      </w:r>
      <w:r>
        <w:rPr>
          <w:rFonts w:ascii="Arial" w:cs="Arial" w:eastAsia="Arial" w:hAnsi="Arial"/>
          <w:sz w:val="16"/>
          <w:szCs w:val="16"/>
          <w:color w:val="auto"/>
        </w:rPr>
        <w:t>” means (i) the 6.875% Notes due 2028 issued pursuant to the Sprint Capital Corporation Indenture, as supplemented by that certain Officers’ Certificate dated as of November 16, 1998, (ii) the 8.750% Notes due 2032 issued pursuant to the Sprint Capital Corporation Indenture, as supplemented by that certain Officers’ Certificate dated as of March 8, 2002, (iii) the 11.500% Notes due 2021 issued pursuant to the Sprint Communications, Inc. Indenture, as supplemented by that certain First Supplemental Indenture dated as of November 9, 2011, between Sprint Communications, Inc. (formerly known as Sprint Nextel Corporation) and The Bank of New York Trust Company, N.A., as trustee, (iv) the 7.000% Notes due 2020 issued pursuant to the Sprint Communications, Inc. Indenture, as supplemented by that certain Fifth Supplemental Indenture dated as of August 14, 2012, between Sprint Communications, Inc. (formerly known as Sprint Nextel Corporation), and The Bank of New York Trust Company, N.A., as trustee (which were repaid at maturity on August 15, 2020), (v) the 6.000% Notes due 2022 issued pursuant to the Sprint Communications, Inc. Indenture, as supplemented by that certain Sixth Supplemental Indenture dated as of November 14, 2012, between Sprint Communications, Inc. (formerly known as Sprint Nextel Corporation), and The Bank of New York Trust Company, N.A., as trustee,</w:t>
      </w:r>
    </w:p>
    <w:p>
      <w:pPr>
        <w:spacing w:after="0" w:line="2" w:lineRule="exact"/>
        <w:rPr>
          <w:sz w:val="20"/>
          <w:szCs w:val="20"/>
          <w:color w:val="auto"/>
        </w:rPr>
      </w:pPr>
    </w:p>
    <w:p>
      <w:pPr>
        <w:ind w:left="300" w:right="319" w:hanging="8"/>
        <w:spacing w:after="0" w:line="267" w:lineRule="auto"/>
        <w:tabs>
          <w:tab w:leader="none" w:pos="60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7.250% Notes due 2021 issued pursuant to the Sprint Corporation Indenture, as supplemented by that certain First Supplemental Indenture dated as of September 11, 2013, among Sprint Corporation, Sprint Communications, Inc., as guarantor, and the Bank of New York Mellon Trust Company, N.A., as trustee (vii) the 7.875% Notes due 2023 issued pursuant to the Sprint Corporation Indenture, as supplemented by that certain Second Supplemental Indenture dated as of September 11, 2013, among Sprint Corporation, Sprint Communications, Inc., as guarantor, and the Bank of New York Mellon Trust Company, N.A., as trustee, (viii) the 7.125% Notes due 2024 issued pursuant to the Sprint Corporation Indenture, as supplemented by that certain Third Supplemental Indenture dated as of December 12, 2013, among Sprint Corporation, Sprint Communications, Inc., as guarantor, and the Bank of New York Mellon Trust Company, N.A., as trustee, (ix) the 7.625% Notes due 2025 issued pursuant to the Sprint Corporation Indenture, as supplemented by that certain Fourth Supplemental Indenture dated as of February 24, 2015, among Sprint Corporation, Sprint Communications, Inc., as guarantor, and the Bank of New York Mellon Trust Company, N.A., as trustee and (x) the 7.625% Notes due 2026 issued pursuant to the Sprint Corporation Indenture, as supplemented by that certain Fifth Supplemental Indenture dated as of February 22, 2018, among Sprint Corporation, Sprint Communications, Inc., as guarantor, and the Bank of New York Mellon Trust Company, N.A., as trustee.</w:t>
      </w:r>
    </w:p>
    <w:p>
      <w:pPr>
        <w:spacing w:after="0" w:line="7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T-Mobile Secured Notes</w:t>
      </w:r>
      <w:r>
        <w:rPr>
          <w:rFonts w:ascii="Arial" w:cs="Arial" w:eastAsia="Arial" w:hAnsi="Arial"/>
          <w:sz w:val="17"/>
          <w:szCs w:val="17"/>
          <w:color w:val="auto"/>
        </w:rPr>
        <w:t>” means (i) the 3.500% Senior Secured Notes due 2025 issued pursuant to the Indenture, dated as of April 9, 2020 (the “</w:t>
      </w:r>
      <w:r>
        <w:rPr>
          <w:rFonts w:ascii="Arial" w:cs="Arial" w:eastAsia="Arial" w:hAnsi="Arial"/>
          <w:sz w:val="17"/>
          <w:szCs w:val="17"/>
          <w:i w:val="1"/>
          <w:iCs w:val="1"/>
          <w:color w:val="auto"/>
        </w:rPr>
        <w:t>April 2020 Base Indenture</w:t>
      </w:r>
      <w:r>
        <w:rPr>
          <w:rFonts w:ascii="Arial" w:cs="Arial" w:eastAsia="Arial" w:hAnsi="Arial"/>
          <w:sz w:val="17"/>
          <w:szCs w:val="17"/>
          <w:color w:val="auto"/>
        </w:rPr>
        <w:t>”), by and between T-Mobile US, Inc., T-Mobile USA, Inc., each of the subsidiary guarantors from time to time party thereto and Deutsche Bank Trust Company Americas, as trustee, as supplemented by that certain First Supplemental Indenture, dated as of April 9, 2020, by and among T-Mobile US, Inc., T-Mobile USA, Inc., each of the subsidiary guarantors from time to time party thereto and Deutsche Bank Trust Company Americas, as trustee, (ii) the 3.750% Senior Secured Notes due 2027 issued pursuant to the April 2020 Base Indenture, as supplemented by that certain Second Supplemental Indenture, dated as of April 9, 2020, by and among T-Mobile US, Inc., T-Mobile USA, Inc., each of the subsidiary guarantors from time to time party thereto and Deutsche Bank Trust Company Americas, as trustee, (iii) the 3.875% Senior Secured Notes due 2030 issued pursuant to the April 2020 Base Indenture, as supplemented by that certain Third Supplemental Indenture, dated as of April 9, 2020, by and among T-Mobile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2" w:lineRule="auto"/>
        <w:rPr>
          <w:sz w:val="20"/>
          <w:szCs w:val="20"/>
          <w:color w:val="auto"/>
        </w:rPr>
      </w:pPr>
      <w:r>
        <w:rPr>
          <w:rFonts w:ascii="Arial" w:cs="Arial" w:eastAsia="Arial" w:hAnsi="Arial"/>
          <w:sz w:val="16"/>
          <w:szCs w:val="16"/>
          <w:color w:val="auto"/>
        </w:rPr>
        <w:t>US, Inc., T-Mobile USA, Inc., each of the subsidiary guarantors from time to time party thereto and Deutsche Bank Trust Company Americas, as trustee, (iv) the 4.375% Senior Secured Notes due 2040 issued pursuant to the April 2020 Base Indenture, as supplemented by that certain Fourth Supplemental Indenture, dated as of April 9, 2020, by and among T-Mobile US, Inc., T-Mobile USA, Inc., each of the subsidiary guarantors from time to time party thereto and Deutsche Bank Trust Company Americas, as trustee, (v) the 4.500% Senior Secured Notes due 2050 issued pursuant to the April 2020 Base Indenture, as supplemented by that certain Fifth Supplemental Indenture, dated as of April 9, 2020, by and among T-Mobile US, Inc., T-Mobile USA, Inc., each of the subsidiary guarantors from time to time party thereto and Deutsche Bank Trust Company Americas, as trustee, (vi) the 1.500% Senior Secured Notes due 2026 issued pursuant to the April 2020 Base Indenture, as supplemented by that certain Seventh Supplemental Indenture, dated as of June 24, 2020, by and among T-Mobile US, Inc., T-Mobile USA, Inc., each of the subsidiary guarantors from time to time party thereto and Deutsche Bank Trust Company Americas, as trustee, (vii) the 2.050% Senior Secured Notes due 2028 issued pursuant to the April 2020 Base Indenture, as supplemented by that certain Eighth Supplemental Indenture, dated as of June 24, 2020, by and among T-Mobile US, Inc., T-Mobile USA, Inc., each of the subsidiary guarantors from time to time party thereto and Deutsche Bank Trust Company Americas, as trustee, and that certain Tenth Supplemental Indenture, dated as of October 6, 2020, by and among T-Mobile US, Inc., T-Mobile USA, Inc., each of the subsidiary guarantors from time to time party thereto and Deutsche Bank Trust Company Americas, as trustee, (viii) the 2.550% Senior Secured Notes due 2031 issued pursuant to the April 2020 Base Indenture, as supplemented by that certain Ninth Supplemental Indenture, dated as of June 24, 2020, by and among T-Mobile US, Inc., T-Mobile USA, Inc., each of the subsidiary guarantors from time to time party thereto and Deutsche Bank Trust Company Americas, as trustee, and that certain Eleventh Supplemental Indenture, dated as of October 6, 2020, by and among T-Mobile US, Inc., T-Mobile USA, Inc., each of the subsidiary guarantors from time to time party thereto and Deutsche Bank Trust Company Americas, as trustee, (ix) the 2.250% Senior Secured Notes due 2031 issued pursuant to the April 2020 Base Indenture, as supplemented by that certain Fourteenth Supplemental Indenture, dated as of October 28, 2020, by and among T-Mobile US, Inc., T-Mobile USA, Inc., each of the subsidiary guarantors from time to time party thereto and Deutsche Bank Trust Company Americas, as trustee,</w:t>
      </w:r>
    </w:p>
    <w:p>
      <w:pPr>
        <w:spacing w:after="0" w:line="10" w:lineRule="exact"/>
        <w:rPr>
          <w:sz w:val="20"/>
          <w:szCs w:val="20"/>
          <w:color w:val="auto"/>
        </w:rPr>
      </w:pPr>
    </w:p>
    <w:p>
      <w:pPr>
        <w:ind w:left="300" w:right="299" w:hanging="8"/>
        <w:spacing w:after="0" w:line="267" w:lineRule="auto"/>
        <w:tabs>
          <w:tab w:leader="none" w:pos="5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3.000% Senior Secured Notes due 2041 issued pursuant to the April 2020 Base Indenture, as supplemented by that certain Twelfth Supplemental Indenture, dated as of October 6, 2020, by and among T-Mobile US, Inc., T-Mobile USA, Inc., each of the subsidiary guarantors from time to time party thereto and Deutsche Bank Trust Company Americas, as trustee, and that certain Fifteenth Supplemental Indenture, dated as of October 28, 2020, by and among T-Mobile US, Inc., T-Mobile USA, Inc., each of the subsidiary guarantors from time to time party thereto and Deutsche Bank Trust Company Americas, as trustee, (xi) the 3.300% Senior Secured Notes due 2051 issued pursuant to the April 2020 Base Indenture, as supplemented by that certain Thirteenth Supplemental Indenture, dated as of October 6, 2020, by and among T-Mobile US, Inc., T-Mobile USA, Inc., each of the subsidiary guarantors from time to time party thereto and Deutsche Bank Trust Company Americas, as trustee, and that certain Sixteenth Supplemental Indenture, dated as of October 28, 2020, by and among T-Mobile US, Inc., T-Mobile USA, Inc., each of the subsidiary guarantors from time to time party thereto and Deutsche Bank Trust Company Americas, as trustee, and (xii) the 3.600% Senior Secured Notes due 2060 issued pursuant to the April 2020 Base Indenture, as supplemented that certain Seventeenth Supplemental Indenture, dated as of October 28, 2020, by and among T-Mobile US, Inc., T-Mobile USA, Inc., each of the subsidiary guarantors from time to time party thereto and Deutsche Bank Trust Company Americas, as trustee.</w:t>
      </w:r>
    </w:p>
    <w:p>
      <w:pPr>
        <w:spacing w:after="0" w:line="72"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Unsecured Notes</w:t>
      </w:r>
      <w:r>
        <w:rPr>
          <w:rFonts w:ascii="Arial" w:cs="Arial" w:eastAsia="Arial" w:hAnsi="Arial"/>
          <w:sz w:val="16"/>
          <w:szCs w:val="16"/>
          <w:color w:val="auto"/>
        </w:rPr>
        <w:t>” means (i) the 6.000% Senior Notes due 2023 issued pursuant to the Base Indenture, as supplemented by that certain Seventeenth Supplemental Indenture dated as of September 5, 2014, among T-Mobile USA, Inc., the guarantors named therein and Deutsche Bank Trust Company Americas, as trustee,</w:t>
      </w:r>
    </w:p>
    <w:p>
      <w:pPr>
        <w:spacing w:after="0" w:line="2" w:lineRule="exact"/>
        <w:rPr>
          <w:sz w:val="20"/>
          <w:szCs w:val="20"/>
          <w:color w:val="auto"/>
        </w:rPr>
      </w:pPr>
    </w:p>
    <w:p>
      <w:pPr>
        <w:jc w:val="both"/>
        <w:ind w:left="300" w:right="659" w:hanging="8"/>
        <w:spacing w:after="0" w:line="281" w:lineRule="auto"/>
        <w:tabs>
          <w:tab w:leader="none" w:pos="5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6.500% Senior Notes due 2024 issued pursuant to the Base Indenture, as supplemented by that certain Fifteenth Supplemental Indenture dated as of November 21, 2013, among T-Mobile USA, Inc., the guarantors named therein and Deutsche Bank Trust Company Americas, as trustee (which were redeemed on July 4, 2020),</w:t>
      </w:r>
    </w:p>
    <w:p>
      <w:pPr>
        <w:spacing w:after="0" w:line="1" w:lineRule="exact"/>
        <w:rPr>
          <w:rFonts w:ascii="Arial" w:cs="Arial" w:eastAsia="Arial" w:hAnsi="Arial"/>
          <w:sz w:val="16"/>
          <w:szCs w:val="16"/>
          <w:color w:val="auto"/>
        </w:rPr>
      </w:pPr>
    </w:p>
    <w:p>
      <w:pPr>
        <w:ind w:left="300" w:right="299" w:hanging="8"/>
        <w:spacing w:after="0" w:line="287" w:lineRule="auto"/>
        <w:tabs>
          <w:tab w:leader="none" w:pos="6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6.375% Senior Notes due 2025 issued pursuant to the Base Indenture, as supplemented by that certain Eighteenth Supplemental Indenture dated as of September 5, 2014, among T-Mobile USA, Inc., the guarantors named therein and Deutsche Bank Trust Company Americas, as trustee (which were redeemed on September 1, 2020), (iv) the 6.500% Senior Notes due 2026 issued pursuant to the Base Indenture, as supplemented by that certain Twentieth Supplemental Indenture dated as of November 5, 2015, among T-Mobile USA, Inc., the guarantors named therein and Deutsche Bank Trust Company Americas, as trustee, (v) the 6.000% Senior Notes due 2024 issued pursuant to the Base Indenture, as supplemented by that certain Twenty-First Supplemental Indenture dated as of April 1, 2016, among T-Mobile USA, Inc., the guarantors named therein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19"/>
        <w:spacing w:after="0" w:line="287" w:lineRule="auto"/>
        <w:rPr>
          <w:sz w:val="20"/>
          <w:szCs w:val="20"/>
          <w:color w:val="auto"/>
        </w:rPr>
      </w:pPr>
      <w:r>
        <w:rPr>
          <w:rFonts w:ascii="Arial" w:cs="Arial" w:eastAsia="Arial" w:hAnsi="Arial"/>
          <w:sz w:val="16"/>
          <w:szCs w:val="16"/>
          <w:color w:val="auto"/>
        </w:rPr>
        <w:t>Deutsche Bank Trust Company Americas, as trustee, (vi) the 4.000% Senior Notes due 2022 issued pursuant to the Base Indenture, as supplemented by that certain Twenty-Third Supplemental Indenture dated as of March 16, 2017, among T-Mobile USA, Inc., the guarantors named therein and Deutsche Bank Trust Company Americas, as trustee,</w:t>
      </w:r>
    </w:p>
    <w:p>
      <w:pPr>
        <w:spacing w:after="0" w:line="2" w:lineRule="exact"/>
        <w:rPr>
          <w:sz w:val="20"/>
          <w:szCs w:val="20"/>
          <w:color w:val="auto"/>
        </w:rPr>
      </w:pPr>
    </w:p>
    <w:p>
      <w:pPr>
        <w:ind w:left="300" w:right="339" w:hanging="8"/>
        <w:spacing w:after="0" w:line="281"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5.125% Senior Notes due 2025 issued pursuant to the Base Indenture, as supplemented by that certain Twenty-Fourth Supplemental Indenture dated as of March 16, 2017, among T-Mobile USA, Inc., the guarantors named therein and Deutsche Bank Trust Company Americas, as trustee, (viii) the 5.375% Senior Notes due 2027 issued pursuant to the Base Indenture, as supplemented by that certain Twenty-Fifth Supplemental Indenture dated as of March 16, 2017, among T-Mobile USA, Inc., the guarantors named therein and Deutsche Bank Trust Company Americas, as trustee, (ix) the 4.000% Senior Notes due 2022-1 issued pursuant to the Base Indenture, as supplemented by that certain Twenty-Sixth Supplemental Indenture dated as of April 27, 2017, among T-Mobile USA, Inc., the guarantors named therein and Deutsche Bank Trust Company Americas, as trustee, (x) the 5.125% Senior Notes due 2025-1 issued pursuant to the Base Indenture, as supplemented by that certain Twenty-Seventh Supplemental Indenture dated as of April 28, 2017, among T-Mobile USA, Inc., the guarantors named therein and Deutsche Bank Trust Company Americas, as trustee (which were redeemed on July 4, 2020), (xi) the 5.375% Senior Notes due 2027-1 issued pursuant to the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Sprint Merger), (xii) the 5.300% Senior Notes due 2021 issued pursuant to the Base Indenture, as supplemented by that certain Twenty-Ninth Supplemental Indenture dated as of May 9, 2017, among T-Mobile USA, Inc., the guarantors named therein and Deutsche Bank Trust Company Americas, as trustee (which were repurchased and canceled in connection with the Sprint Merger), (xiii) the 6.000% Senior Notes due 2024 issued pursuant to the Base Indenture, as supplemented by that certain Twenty-First Supplemental Indenture dated as of April 1, 2016, among T-Mobile USA, Inc., the guarantors named therein and Deutsche Bank Trust Company Americas, as trustee, as supplemented further by that certain Thirtieth Supplemental Indenture dated as of May 9, 2017, among T-Mobile USA, Inc., the guarantors named therein and Deutsche Bank Trust Company Americas, as trustee (which were repurchased and canceled in connection with the Sprint Merger),</w:t>
      </w:r>
    </w:p>
    <w:p>
      <w:pPr>
        <w:spacing w:after="0" w:line="13" w:lineRule="exact"/>
        <w:rPr>
          <w:rFonts w:ascii="Arial" w:cs="Arial" w:eastAsia="Arial" w:hAnsi="Arial"/>
          <w:sz w:val="16"/>
          <w:szCs w:val="16"/>
          <w:color w:val="auto"/>
        </w:rPr>
      </w:pPr>
    </w:p>
    <w:p>
      <w:pPr>
        <w:ind w:left="300" w:right="319" w:hanging="8"/>
        <w:spacing w:after="0" w:line="284"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4.500% Senior Notes due 2026 issued pursuant to the Base Indenture, as supplemented by that certain Thirty-Second Supplemental Indenture, dated as of January 25, 2018, among T-Mobile USA, Inc., the guarantors named therein and Deutsche Bank Trust Company Americas, as trustee, (xv), the 4.750% Senior Notes due 2028 issued pursuant to the Base Indenture, as supplemented by that certain Thirty-Third Supplemental Indenture dated as of January 25, 2018, among T-Mobile USA, Inc., the guarantors named therein and Deutsche Bank Trust Company Americas, as trustee, (xvi) the 4.500% Senior Notes due 2026-1 issued pursuant to the Base Indenture, as supplemented by that certain Thirty-Fifth Supplemental Indenture, dated as of April 30, 2018, among T-Mobile USA, Inc., the guarantors named therein and Deutsche Bank Trust Company Americas, as trustee, (xvii) the 4.750% Senior Notes due 2028-1 issued pursuant to the Base Indenture, as supplemented by that certain Thirty-Sixth Supplemental Indenture, dated as of April 30, 2018, among T-Mobile USA, Inc., the guarantors named therein and Deutsche Bank Trust Company Americas, as trustee, (xviii) the 2.250% Senior Notes due 2026 issued pursuant to the Base Indenture, as supplemented by that certain Forty-Third Supplemental Indenture, dated as of January 14, 2021, among T-Mobile USA, Inc., the guarantors named therein and Deutsche Bank Trust Company Americas, as trustee, (xix) the 2.625% Senior Notes due 2029 issued pursuant to the Base Indenture, as supplemented by that certain Forty-Fourth Supplemental Indenture, dated as of January 14, 2021, among T-Mobile USA, Inc., the guarantors named therein and Deutsche Bank Trust Company Americas, as trustee and (xx) the 2.875% Senior Notes due 2031 issued pursuant to the Base Indenture, as supplemented by that certain Forty-Fifth Supplemental Indenture, dated as of January 14, 2021, among T-Mobile USA, Inc., the guarantors named therein and Deutsche Bank Trust Company Americas, as trustee.</w:t>
      </w:r>
    </w:p>
    <w:p>
      <w:pPr>
        <w:spacing w:after="0" w:line="6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in a transaction not involving distress or necessity of either party, determined in good faith by the Issuer’s Board of Directors or a senior officer of the Issuer, which determination shall be conclusive.</w:t>
      </w:r>
    </w:p>
    <w:p>
      <w:pPr>
        <w:spacing w:after="0" w:line="76"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w:t>
      </w:r>
      <w:r>
        <w:rPr>
          <w:rFonts w:ascii="Arial" w:cs="Arial" w:eastAsia="Arial" w:hAnsi="Arial"/>
          <w:sz w:val="18"/>
          <w:szCs w:val="18"/>
          <w:color w:val="auto"/>
        </w:rPr>
        <w:t>” means the United States Federal Communications Commission and any successor agency that is responsible for regulating the United States telecommunications industry.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 Licenses</w:t>
      </w:r>
      <w:r>
        <w:rPr>
          <w:rFonts w:ascii="Arial" w:cs="Arial" w:eastAsia="Arial" w:hAnsi="Arial"/>
          <w:sz w:val="18"/>
          <w:szCs w:val="18"/>
          <w:color w:val="auto"/>
        </w:rPr>
        <w:t>” means all licenses or permits now or hereafter issued by the FCC.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Lease Obligation</w:t>
      </w:r>
      <w:r>
        <w:rPr>
          <w:rFonts w:ascii="Arial" w:cs="Arial" w:eastAsia="Arial" w:hAnsi="Arial"/>
          <w:sz w:val="18"/>
          <w:szCs w:val="18"/>
          <w:color w:val="auto"/>
        </w:rPr>
        <w:t>” means, at the time any determination is to be made, the amount of the liability in respect of a financing lease that would at that time be required to be capitalized and reflected as a liability on a balance sheet prepared in accordance with GAAP.</w:t>
      </w:r>
    </w:p>
    <w:p>
      <w:pPr>
        <w:spacing w:after="0" w:line="76"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Lien Debt to Cash Flow Ratio</w:t>
      </w:r>
      <w:r>
        <w:rPr>
          <w:rFonts w:ascii="Arial" w:cs="Arial" w:eastAsia="Arial" w:hAnsi="Arial"/>
          <w:sz w:val="16"/>
          <w:szCs w:val="16"/>
          <w:color w:val="auto"/>
        </w:rPr>
        <w:t>” means, as of the last day of any period, the ratio of (a) (i) the Specified Consolidated Indebtedness of such Person as of such date that constitutes First Lien Obligations (including, in any event, the aggregate amount of Specified Consolidated Indebtedness constituting Permitted Spectrum Financings) less (ii) the aggregate amount of unrestricted Specified Cash Equivalents of the Issuer and its Subsidiaries as of such date to (b) the Specified Consolidated Cash Flow of such Person for such period.</w:t>
      </w:r>
    </w:p>
    <w:p>
      <w:pPr>
        <w:spacing w:after="0" w:line="53"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For purposes of making the computation referred to above, the First Lien Debt to Cash Flow Ratio, Specified Consolidated Indebtedness and Specified Consolidated Cash Flow shall be calculated on a Pro Forma Basis.</w:t>
      </w:r>
    </w:p>
    <w:p>
      <w:pPr>
        <w:spacing w:after="0" w:line="1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Obligations</w:t>
      </w:r>
      <w:r>
        <w:rPr>
          <w:rFonts w:ascii="Arial" w:cs="Arial" w:eastAsia="Arial" w:hAnsi="Arial"/>
          <w:sz w:val="18"/>
          <w:szCs w:val="18"/>
          <w:color w:val="auto"/>
        </w:rPr>
        <w:t xml:space="preserve">” means any Specified Indebtedness that is secured by Liens on the collateral that secures the Existing T-Mobile Secured Notes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that secure the Existing T-Mobile Secured Notes.</w:t>
      </w:r>
    </w:p>
    <w:p>
      <w:pPr>
        <w:spacing w:after="0" w:line="76" w:lineRule="exact"/>
        <w:rPr>
          <w:sz w:val="20"/>
          <w:szCs w:val="20"/>
          <w:color w:val="auto"/>
        </w:rPr>
      </w:pPr>
    </w:p>
    <w:p>
      <w:pPr>
        <w:ind w:left="300" w:right="41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Initial Spectrum Obligations</w:t>
      </w:r>
      <w:r>
        <w:rPr>
          <w:rFonts w:ascii="Arial" w:cs="Arial" w:eastAsia="Arial" w:hAnsi="Arial"/>
          <w:sz w:val="16"/>
          <w:szCs w:val="16"/>
          <w:color w:val="auto"/>
        </w:rPr>
        <w:t xml:space="preserve">” means, collectively, the lease payments and all other obligations and liabilities of the Issuer and the Guarantors (including, without limitation, Post-Petition Interest), whether direct or indirect, absolute or contingent, due or to become due, or now existing or hereafter incurred, which may arise under, out of, or in connection with (i) the Initial Intra-Company Spectrum Lease Agreement and (ii) the Initial Spectrum Performance Agreement, in each case, whether on account of principal, lease payments, guarantee payments, interest, reimbursement obligations, fees, prepayment premiums, liquidated damages, indemnities, costs, expenses or otherwise (including, without limitation, all fees and disbursements of counsel that are required to be paid by the Issuer or any Guarantors pursuant to the terms of any of the foregoing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any documents or agreements (and regardless of any underlying actual amounts owing or outstanding), the total amount of the foregoing obligations that may constitute “First Priority Initial Spectrum Obligations” shall be limited to an aggregate amount not to exceed at any time $3,500,000,000.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of Parent other than a Subsidiary organized under the laws of the United States or any state of the United States or the District of Columbia.</w:t>
      </w:r>
    </w:p>
    <w:p>
      <w:pPr>
        <w:spacing w:after="0" w:line="62"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means any Subsidiary of Parent that owns no material assets (directly or through Subsidiaries) other than Equity Interests (or Equity Interests and Specified Indebtedness) in one or more Foreign Subsidiaries that are CFCs.</w:t>
      </w:r>
    </w:p>
    <w:p>
      <w:pPr>
        <w:spacing w:after="0" w:line="76"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as in effect on the date of any calculation or determination required under the Notes of the applicable series or the Indenture. Notwithstanding the foregoing, at any time, (i) the Issuer may elect to apply IFRS accounting principles in lieu of GAAP and, upon any such election, references herein to GAAP or parts of the Accounting Standards Codification or “ASC” shall thereafter be construed to mean IFRS (except as otherwise provided in the Indenture) and (ii) the Issuer, on any date may elect to establish that GAAP shall mean GAAP as in effect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once made,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calculation or determination in the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and the holders of outstanding Notes.</w:t>
      </w:r>
    </w:p>
    <w:p>
      <w:pPr>
        <w:spacing w:after="0" w:line="6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(or certificates representing an ownership interest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province, territory or other political subdivision thereof and any other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80"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means any permit, license, authorization, plan, directive, consent, permission, consent order or consent decree of or from any Governmental Authority, including but not limited to FCC Licenses.</w:t>
      </w:r>
    </w:p>
    <w:p>
      <w:pPr>
        <w:spacing w:after="0" w:line="16"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6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with respect to the Notes of any series, any Person who has guaranteed the obligations of the Issuer under the applicable Indenture until released from its Note Guarantee pursuant to the provisions of the applicable Indenture.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29" w:lineRule="exact"/>
        <w:rPr>
          <w:sz w:val="20"/>
          <w:szCs w:val="20"/>
          <w:color w:val="auto"/>
        </w:rPr>
      </w:pPr>
    </w:p>
    <w:p>
      <w:pPr>
        <w:ind w:left="1000" w:right="51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guarantee in respect thereof.</w:t>
      </w:r>
    </w:p>
    <w:p>
      <w:pPr>
        <w:spacing w:after="0" w:line="117" w:lineRule="exact"/>
        <w:rPr>
          <w:sz w:val="20"/>
          <w:szCs w:val="20"/>
          <w:color w:val="auto"/>
        </w:rPr>
      </w:pPr>
    </w:p>
    <w:p>
      <w:pPr>
        <w:ind w:left="300" w:right="4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means the international accounting standards promulgated by the International Accounting Standards Board and its predecessors, as adopted by the European Union, as in effect from time to time.</w:t>
      </w:r>
    </w:p>
    <w:p>
      <w:pPr>
        <w:spacing w:after="0" w:line="38"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Subsidiary</w:t>
      </w:r>
      <w:r>
        <w:rPr>
          <w:rFonts w:ascii="Arial" w:cs="Arial" w:eastAsia="Arial" w:hAnsi="Arial"/>
          <w:sz w:val="18"/>
          <w:szCs w:val="18"/>
          <w:color w:val="auto"/>
        </w:rPr>
        <w:t xml:space="preserve">” means any Subsidiary of the Issuer that at any time has Consolidated Total Assets accounting for less than 2.50% of the Issuer’s Consolidated Total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Consolidated Total Assets of all Immaterial Subsidiaries shall not at any time exceed 5.00% of the Issuer’s Consolidated Total Assets.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without duplication, (1) any indebtedness of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Person (excluding accrued expenses and trade payables), whether or not contingent:</w:t>
      </w:r>
    </w:p>
    <w:p>
      <w:pPr>
        <w:spacing w:after="0" w:line="103" w:lineRule="exact"/>
        <w:rPr>
          <w:sz w:val="20"/>
          <w:szCs w:val="20"/>
          <w:color w:val="auto"/>
        </w:rPr>
      </w:pPr>
    </w:p>
    <w:p>
      <w:pPr>
        <w:ind w:left="1360" w:hanging="348"/>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559" w:hanging="348"/>
        <w:spacing w:after="0" w:line="277" w:lineRule="auto"/>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ind w:left="1360" w:right="599" w:hanging="348"/>
        <w:spacing w:after="0" w:line="342" w:lineRule="auto"/>
        <w:tabs>
          <w:tab w:leader="none" w:pos="13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or services due more than six months after such property is acquired or such services are completed; or</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sz w:val="20"/>
          <w:szCs w:val="20"/>
          <w:color w:val="auto"/>
        </w:rPr>
      </w:pPr>
    </w:p>
    <w:p>
      <w:pPr>
        <w:ind w:left="1000" w:right="359" w:hanging="348"/>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Towers Transaction;</w:t>
      </w:r>
    </w:p>
    <w:p>
      <w:pPr>
        <w:spacing w:after="0" w:line="62"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59"/>
        <w:spacing w:after="0" w:line="296" w:lineRule="auto"/>
        <w:rPr>
          <w:sz w:val="20"/>
          <w:szCs w:val="20"/>
          <w:color w:val="auto"/>
        </w:rPr>
      </w:pPr>
      <w:r>
        <w:rPr>
          <w:rFonts w:ascii="Arial" w:cs="Arial" w:eastAsia="Arial" w:hAnsi="Arial"/>
          <w:sz w:val="16"/>
          <w:szCs w:val="16"/>
          <w:color w:val="auto"/>
        </w:rPr>
        <w:t>Notwithstanding the foregoing, in no event shall the reclassification of any lease or other liability as indebtedness due to a change in accounting principles (or in the application thereof) after the Closing Date be deemed to be an incurrence of Indebtedness for any purpose under the Indenture. The amount of any Indebtedness shall be determined in accordance with the last paragraph of the covenant described above under the caption “—Certain Covenants—Incurrence of Indebtedness and Issuance of Disqualified Stock and Preferred Stock” or</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000" w:hanging="348"/>
        <w:spacing w:after="0"/>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issued with original issue discount;</w:t>
      </w:r>
    </w:p>
    <w:p>
      <w:pPr>
        <w:spacing w:after="0" w:line="140" w:lineRule="exact"/>
        <w:rPr>
          <w:rFonts w:ascii="Arial" w:cs="Arial" w:eastAsia="Arial" w:hAnsi="Arial"/>
          <w:sz w:val="16"/>
          <w:szCs w:val="16"/>
          <w:color w:val="auto"/>
        </w:rPr>
      </w:pPr>
    </w:p>
    <w:p>
      <w:pPr>
        <w:ind w:left="1000" w:right="499" w:hanging="348"/>
        <w:spacing w:after="0" w:line="308" w:lineRule="auto"/>
        <w:tabs>
          <w:tab w:leader="none" w:pos="10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17" w:lineRule="exact"/>
        <w:rPr>
          <w:sz w:val="20"/>
          <w:szCs w:val="20"/>
          <w:color w:val="auto"/>
        </w:rPr>
      </w:pPr>
    </w:p>
    <w:p>
      <w:pPr>
        <w:ind w:left="300" w:right="7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 for Borrowed Money</w:t>
      </w:r>
      <w:r>
        <w:rPr>
          <w:rFonts w:ascii="Arial" w:cs="Arial" w:eastAsia="Arial" w:hAnsi="Arial"/>
          <w:sz w:val="16"/>
          <w:szCs w:val="16"/>
          <w:color w:val="auto"/>
        </w:rPr>
        <w:t>” means, with respect to any specified Person, without duplication, the Specified Indebtedness described in clauses (1)(a) and (1)(b) of the definition of “Specified Indebtedness.”</w:t>
      </w:r>
    </w:p>
    <w:p>
      <w:pPr>
        <w:spacing w:after="0" w:line="1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Intra-Company Spectrum Lease Agreement</w:t>
      </w:r>
      <w:r>
        <w:rPr>
          <w:rFonts w:ascii="Arial" w:cs="Arial" w:eastAsia="Arial" w:hAnsi="Arial"/>
          <w:sz w:val="18"/>
          <w:szCs w:val="18"/>
          <w:color w:val="auto"/>
        </w:rPr>
        <w:t>” means the Intra-Company Spectrum Lease Agreement, dated as of October 27, 2016, by and among, inter alia, various SpectrumCo1 entities, as lessors, Sprint Communications, Inc., as lessee, Sprint Corporation and the other guarantors party thereto (as amended from time to time).</w:t>
      </w:r>
    </w:p>
    <w:p>
      <w:pPr>
        <w:spacing w:after="0" w:line="79"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Spectrum Performance Agreement</w:t>
      </w:r>
      <w:r>
        <w:rPr>
          <w:rFonts w:ascii="Arial" w:cs="Arial" w:eastAsia="Arial" w:hAnsi="Arial"/>
          <w:sz w:val="16"/>
          <w:szCs w:val="16"/>
          <w:color w:val="auto"/>
        </w:rPr>
        <w:t>” means the SCI Payment and Performance Undertaking Agreement, dated as of October 27, 2016, between Sprint Communications, Inc., Sprint Corporation, the other grantors party thereto, and Deutsche Bank Trust Company Americas, as trustee (as amended from time to time).</w:t>
      </w:r>
    </w:p>
    <w:p>
      <w:pPr>
        <w:spacing w:after="0" w:line="4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Proceeding</w:t>
      </w:r>
      <w:r>
        <w:rPr>
          <w:rFonts w:ascii="Arial" w:cs="Arial" w:eastAsia="Arial" w:hAnsi="Arial"/>
          <w:sz w:val="18"/>
          <w:szCs w:val="18"/>
          <w:color w:val="auto"/>
        </w:rPr>
        <w:t>” means each of the following, in each case with respect to the Issuer or any Guarantor or any property or Specified Indebtedness of the Issuer or any Guarantor: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w:t>
      </w:r>
    </w:p>
    <w:p>
      <w:pPr>
        <w:spacing w:after="0" w:line="117" w:lineRule="exact"/>
        <w:rPr>
          <w:sz w:val="20"/>
          <w:szCs w:val="20"/>
          <w:color w:val="auto"/>
        </w:rPr>
      </w:pPr>
    </w:p>
    <w:p>
      <w:pPr>
        <w:ind w:left="1000" w:right="939" w:hanging="348"/>
        <w:spacing w:after="0" w:line="342"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 respect to Moody’s, a rating of Baa3 (or its equivalent under any successor rating category of Moody’s) or better (and, for purposes of an Investment Grade Event, stable or better outlook);</w:t>
      </w:r>
    </w:p>
    <w:p>
      <w:pPr>
        <w:spacing w:after="0" w:line="15" w:lineRule="exact"/>
        <w:rPr>
          <w:rFonts w:ascii="Arial" w:cs="Arial" w:eastAsia="Arial" w:hAnsi="Arial"/>
          <w:sz w:val="16"/>
          <w:szCs w:val="16"/>
          <w:color w:val="auto"/>
        </w:rPr>
      </w:pPr>
    </w:p>
    <w:p>
      <w:pPr>
        <w:ind w:left="1000" w:right="57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S&amp;P, a rating of BBB- (or its equivalent under any successor rating category of S&amp;P) or better (and, for purposes of an Investment Grade Event, stable or better outlook);</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Fitch, a rating of BBB- (or its equivalent under any successor rating category of Fitch) or better (and, for purposes of an Investment Grade Event, stable or better outlook); and</w:t>
      </w:r>
    </w:p>
    <w:p>
      <w:pPr>
        <w:spacing w:after="0" w:line="62"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any Rating Agency ceases to exist or ceases to rate any series of notes issued under the Base Indenture for reasons outside of the control of the Issuer, the equivalent investment grade credit rating from any other “nationally recognized statistical rating organization”, as such term is defined under Section 3(a)(62) of the Exchange Act, selected by the Issuer as a replacement agency.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w:t>
      </w:r>
      <w:r>
        <w:rPr>
          <w:rFonts w:ascii="Arial" w:cs="Arial" w:eastAsia="Arial" w:hAnsi="Arial"/>
          <w:sz w:val="18"/>
          <w:szCs w:val="18"/>
          <w:color w:val="auto"/>
        </w:rPr>
        <w:t>” means:</w:t>
      </w:r>
    </w:p>
    <w:p>
      <w:pPr>
        <w:spacing w:after="0" w:line="117" w:lineRule="exact"/>
        <w:rPr>
          <w:sz w:val="20"/>
          <w:szCs w:val="20"/>
          <w:color w:val="auto"/>
        </w:rPr>
      </w:pPr>
    </w:p>
    <w:p>
      <w:pPr>
        <w:ind w:left="1000" w:right="359" w:hanging="348"/>
        <w:spacing w:after="0" w:line="301" w:lineRule="auto"/>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Issuer has obtained a rating or, to the extent any Rating Agency will not provide a rating, an advisory or prospective rating from at least two Rating Agencies, that reflects an Investment Grade rating (i) for the corporate rating of the Issuer or Parent and (ii) with respect to each outstanding series of notes issued under the Base Indenture after giving effect to the proposed release of all of the Note Guarantees;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with respect to such series of notes; and</w:t>
      </w:r>
    </w:p>
    <w:p>
      <w:pPr>
        <w:spacing w:after="0" w:line="128" w:lineRule="exact"/>
        <w:rPr>
          <w:rFonts w:ascii="Arial" w:cs="Arial" w:eastAsia="Arial" w:hAnsi="Arial"/>
          <w:sz w:val="17"/>
          <w:szCs w:val="17"/>
          <w:color w:val="auto"/>
        </w:rPr>
      </w:pPr>
    </w:p>
    <w:p>
      <w:pPr>
        <w:ind w:left="1000" w:right="459" w:hanging="348"/>
        <w:spacing w:after="0" w:line="255"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 guarantees by, or direct obligation of, the Guarantors with respect to the Credit Agreement and the Existing T-Mobile Secured Notes have been released or would be released simultaneously with an Investment Grade Event Election and (ii) Liens securing the Specified Obligations under the Existing T-Mobile Secured Notes and the Specified Obligations under the Credit Agreement (including related secured interest rate agreements) have been released or would be released simultaneously with an Investment Grade Event Election.</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 Election</w:t>
      </w:r>
      <w:r>
        <w:rPr>
          <w:rFonts w:ascii="Arial" w:cs="Arial" w:eastAsia="Arial" w:hAnsi="Arial"/>
          <w:sz w:val="18"/>
          <w:szCs w:val="18"/>
          <w:color w:val="auto"/>
        </w:rPr>
        <w:t>” means an election by the Issuer, upon or following the occurrence of an Investment Grade Event, to cause the Note Guarantees in respect of the Notes to be released. The Issuer shall give notice of any such election made in accordance with this definition to the Trustee and the holders of outstanding Notes.</w:t>
      </w:r>
    </w:p>
    <w:p>
      <w:pPr>
        <w:spacing w:after="0" w:line="79"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Indebtedness, Equity Interests or other securities. If the Issuer or any Restricted Subsidiary of the Issuer sells or otherwise disposes of any Capital Stock of any direct or indirect Restricted Subsidiary of the Issuer such that, after giving effect to any such sale or disposition, such Person is no longer a Restricted Subsidiary of the Issuer, the Issuer will be deemed to have made an Investment on the date of any such sale or disposition equal to the Fair Market Value of the Issuer’s Investments in such Restricted Subsidiary that were not sold or disposed of in an amount determined as provided in the final paragraph of the covenant described above under the caption “—Certain Covenants—Restricted Payments.” The acquisition by the Issuer or any Subsidiary of the Issuer of a Person that holds an Investment in a third Person will be deemed to be an Investment by the Issuer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as of the date the acquisition of the acquired Person is consummated. Except as otherwise provided in the Indenture, the amount of an Investment will be determined at the time the Investment is made and without giving effect to subsequent changes in value.</w:t>
      </w:r>
    </w:p>
    <w:p>
      <w:pPr>
        <w:spacing w:after="0" w:line="63"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ISIS Joint Venture</w:t>
      </w:r>
      <w:r>
        <w:rPr>
          <w:rFonts w:ascii="Arial" w:cs="Arial" w:eastAsia="Arial" w:hAnsi="Arial"/>
          <w:sz w:val="18"/>
          <w:szCs w:val="18"/>
          <w:color w:val="auto"/>
        </w:rPr>
        <w:t>” means Amended and Restated LLC Agreement of JVL Ventures, LLC dated October 1, 2010, as amended.</w:t>
      </w:r>
    </w:p>
    <w:p>
      <w:pPr>
        <w:spacing w:after="0" w:line="62"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 Date</w:t>
      </w:r>
      <w:r>
        <w:rPr>
          <w:rFonts w:ascii="Arial" w:cs="Arial" w:eastAsia="Arial" w:hAnsi="Arial"/>
          <w:sz w:val="16"/>
          <w:szCs w:val="16"/>
          <w:color w:val="auto"/>
        </w:rPr>
        <w:t>” means the effective date of the Board Resolution, officers’ certificate or supplemental indenture pursuant to which the first series of DT Notes was issued under the Base Indenture, or April 28, 2013.</w:t>
      </w:r>
    </w:p>
    <w:p>
      <w:pPr>
        <w:spacing w:after="0" w:line="1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lease in the nature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in and of itself constitute a Lien.</w:t>
      </w:r>
    </w:p>
    <w:p>
      <w:pPr>
        <w:spacing w:after="0" w:line="79"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means any Person that is a Domestic Subsidiary if, as of the date of the most recent balance sheet of the Issuer, the aggregate amount of securities of, loans and advances to, and other investments in, such Person held by the Issuer and its Subsidiaries exceeded 10% of the Issuer’s Consolidated Net Worth,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is at any time designated as an “Unrestricted Subsidiary” (or the equivalent thereof) under the Credit Agreement shall not constitute a “Material Subsidiary” for any purpose 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MetroPCS Wireless, Inc. with and into the Issuer with the Issuer as the surviving Person, pursuant to the Business Combination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left="300" w:right="8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Equity Proceeds</w:t>
      </w:r>
      <w:r>
        <w:rPr>
          <w:rFonts w:ascii="Arial" w:cs="Arial" w:eastAsia="Arial" w:hAnsi="Arial"/>
          <w:sz w:val="18"/>
          <w:szCs w:val="18"/>
          <w:color w:val="auto"/>
        </w:rPr>
        <w:t>” means the net cash proceeds received by the Issuer since the Closing Date as a contribution to its common equity capital or from the issue or sale of Equity Interests of the Issuer (other than Disqualified Stock).</w:t>
      </w:r>
    </w:p>
    <w:p>
      <w:pPr>
        <w:spacing w:after="0" w:line="76"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ind w:left="1000" w:right="879" w:hanging="348"/>
        <w:spacing w:after="0" w:line="311" w:lineRule="auto"/>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dispositions of assets (other than in the ordinary course of business); or (b) the extinguishment of any Indebtedness of such Person or any of its Restricted Subsidiaries; and</w:t>
      </w:r>
    </w:p>
    <w:p>
      <w:pPr>
        <w:spacing w:after="0" w:line="40" w:lineRule="exact"/>
        <w:rPr>
          <w:rFonts w:ascii="Arial" w:cs="Arial" w:eastAsia="Arial" w:hAnsi="Arial"/>
          <w:sz w:val="16"/>
          <w:szCs w:val="16"/>
          <w:color w:val="auto"/>
        </w:rPr>
      </w:pPr>
    </w:p>
    <w:p>
      <w:pPr>
        <w:ind w:left="1000" w:right="49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62"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means the aggregate cash proceeds received by the Issuer or any of its Restricted Subsidiaries in respect of any Asset Sale (including any cash received upon the sale or other disposition of any non-cash consideration received in any Asset Sale, but excluding any items deemed to be cash pursuant to clause (2)(a) of the covenant described above under the caption “—Repurchase at the Option of Holders—Asset Sales”), net of all costs relating to such Asset Sale, including (a) legal, accounting and investment banking fees, finder’s fees, sales commissions, employee severance costs, and any relocation expenses incurred as a result of the Asset Sale, (b) taxes paid or payable as a result of the Asset Sale, in each case, after taking into account any available tax credits or deductions and any tax sharing arrangements, (c) amounts required to be applied to the repayment of Indebtedness, other than Indebtedness under a Credit Facility, secured by a Lien on the asset or assets that were the subject of such Asset Sale, (d) all distributions and other payments required to be made to minority interest holders in Restricted Subsidiaries as a result of such Asset Sale and (e) any amounts to be set aside in any reserve established in accordance with GAAP or any amount placed in escrow, in either case for adjustment in respect of the sale price of such properties or assets or for liabilities associated with such Asset Sale and retained by the Issuer or any of its Restricted Subsidiaries until such time as such reserve is reversed or such escrow arrangement is terminated, in which case Net Proceeds shall include only the amount of the reserve so reversed or the amount returned to the Issuer or its Restricted Subsidiaries from such escrow arrangement, as the case may be.</w:t>
      </w:r>
    </w:p>
    <w:p>
      <w:pPr>
        <w:spacing w:after="0" w:line="68"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Markets</w:t>
      </w:r>
      <w:r>
        <w:rPr>
          <w:rFonts w:ascii="Arial" w:cs="Arial" w:eastAsia="Arial" w:hAnsi="Arial"/>
          <w:sz w:val="17"/>
          <w:szCs w:val="17"/>
          <w:color w:val="auto"/>
        </w:rPr>
        <w:t>” means the collective reference to any wireless telephone markets other than the metropolitan areas of Las Vegas, Nevada; Los Angeles, San Francisco and Sacramento, California; Detroit, Michigan; Dallas/Fort Worth, Texas; Tampa/Sarasota, Orlando, Miami and Jacksonville, Florida; Atlanta, Georgia; Philadelphia, Pennsylvania; New York, New York; Boston, Massachusetts; and Hartford, Connecticut.</w:t>
      </w:r>
    </w:p>
    <w:p>
      <w:pPr>
        <w:spacing w:after="0" w:line="63"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Market Losses</w:t>
      </w:r>
      <w:r>
        <w:rPr>
          <w:rFonts w:ascii="Arial" w:cs="Arial" w:eastAsia="Arial" w:hAnsi="Arial"/>
          <w:sz w:val="18"/>
          <w:szCs w:val="18"/>
          <w:color w:val="auto"/>
        </w:rPr>
        <w:t>” means, for any period, to the extent such losses were deducted in computing such Consolidated Net Income during the applicable period, an amount equal to any extraordinary loss plus any net loss (without duplication) realized by the Issuer or any of its Restricted Subsidiaries incurred in connection with construction, launch and operations in any New Market for such period, so long as such net losses are incurred on or prior to the fourth anniversary after the initial commencement of commercial operations in the applicable New Market.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Specified Indebtedness:</w:t>
      </w:r>
    </w:p>
    <w:p>
      <w:pPr>
        <w:spacing w:after="0" w:line="117" w:lineRule="exact"/>
        <w:rPr>
          <w:sz w:val="20"/>
          <w:szCs w:val="20"/>
          <w:color w:val="auto"/>
        </w:rPr>
      </w:pPr>
    </w:p>
    <w:p>
      <w:pPr>
        <w:ind w:left="1000" w:right="439" w:hanging="348"/>
        <w:spacing w:after="0" w:line="296"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as to which neither the Issuer nor any of its Restricted Subsidiaries (prior to the occurrence of an Investment Grade Event Election) or any of its Subsidiaries (following the occurrence of an Investment Grade Event Election) (a) provides credit support of any kind (including any undertaking, agreement or instrument that would constitute Specified Indebtedness), subject to customary “bad-boy” exceptions, (b) is directly or indirectly liable as a guarantor or otherwise, or (c) constitutes the lender; and</w:t>
      </w:r>
    </w:p>
    <w:p>
      <w:pPr>
        <w:spacing w:after="0" w:line="53" w:lineRule="exact"/>
        <w:rPr>
          <w:rFonts w:ascii="Arial" w:cs="Arial" w:eastAsia="Arial" w:hAnsi="Arial"/>
          <w:sz w:val="16"/>
          <w:szCs w:val="16"/>
          <w:color w:val="auto"/>
        </w:rPr>
      </w:pPr>
    </w:p>
    <w:p>
      <w:pPr>
        <w:ind w:left="1000" w:right="479" w:hanging="348"/>
        <w:spacing w:after="0" w:line="311"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 default with respect to which (including any rights that the holders of the Specified Indebtedness may have to take enforcement action against an Unrestricted Subsidiary (prior to the occurrence of an Investment Grade Event Election) or an “Unrestricted Subsidiary” (or equivalent thereof) under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59"/>
        <w:spacing w:after="0" w:line="255" w:lineRule="auto"/>
        <w:rPr>
          <w:sz w:val="20"/>
          <w:szCs w:val="20"/>
          <w:color w:val="auto"/>
        </w:rPr>
      </w:pPr>
      <w:r>
        <w:rPr>
          <w:rFonts w:ascii="Arial" w:cs="Arial" w:eastAsia="Arial" w:hAnsi="Arial"/>
          <w:sz w:val="18"/>
          <w:szCs w:val="18"/>
          <w:color w:val="auto"/>
        </w:rPr>
        <w:t>Credit Agreement (following the occurrence of an Investment Grade Event Election)) would permit upon notice, lapse of time or both any holder of any other Specified Indebtedness of the Issuer or any of its Restricted Subsidiaries (prior to the occurrence of an Investment Grade Event Election) or any of its Subsidiaries (following the occurrence of an Investment Grade Event Election) to declare a default on such other Specified Indebtedness or cause the payment of the Specified Indebtedness to be accelerated or payable prior to its stated maturity;</w:t>
      </w:r>
    </w:p>
    <w:p>
      <w:pPr>
        <w:spacing w:after="0" w:line="84"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Non-Recourse Debt incurred by a Permitted Receivables Financing Subsidiary,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Spectrum Financing Subsidiary or Permitted Tower Financing Subsidiary may have recourse to the Issuer and its Subsidiaries pursuant to Standard Securitization Undertakings.</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obligations of the Issuer under the Indenture and the Notes of any series, executed in accordance with the provisions of the Indenture.</w:t>
      </w:r>
    </w:p>
    <w:p>
      <w:pPr>
        <w:spacing w:after="0" w:line="62"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Indebtedness.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w:t>
      </w:r>
    </w:p>
    <w:p>
      <w:pPr>
        <w:spacing w:after="0" w:line="117" w:lineRule="exact"/>
        <w:rPr>
          <w:sz w:val="20"/>
          <w:szCs w:val="20"/>
          <w:color w:val="auto"/>
        </w:rPr>
      </w:pPr>
    </w:p>
    <w:p>
      <w:pPr>
        <w:ind w:left="1000" w:right="599" w:hanging="348"/>
        <w:spacing w:after="0" w:line="301"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Specified Investment by the Issuer or any Subsidiary of the Issuer in a Person, if as a result of such Specified Investment (i) such Person becomes a Subsidiary of the Issuer or (ii) such Person is merged, consolidated or amalgamated with or into, or transfers or conveys substantially all of its assets or any division or business unit to, or is liquidated into, the Issuer or a Subsidiary of the Issuer; and</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acquisitions of spectrum licenses.</w:t>
      </w:r>
    </w:p>
    <w:p>
      <w:pPr>
        <w:spacing w:after="0" w:line="117"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Parent’s common stock purchased by the Issuer in connection with the issuance of any Convertible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price for such Permitted Bond Hedge Transaction, does not exceed the net cash proceeds received by the Issuer from the sale of such Convertible Debt issued in connection with the Permitted Bond Hedge Transaction.</w:t>
      </w:r>
    </w:p>
    <w:p>
      <w:pPr>
        <w:spacing w:after="0" w:line="80" w:lineRule="exact"/>
        <w:rPr>
          <w:sz w:val="20"/>
          <w:szCs w:val="20"/>
          <w:color w:val="auto"/>
        </w:rPr>
      </w:pPr>
    </w:p>
    <w:p>
      <w:pPr>
        <w:ind w:left="300" w:right="6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those businesses in which the Issuer and its Subsidiaries were engaged on the Closing Date, or any business similar, related, incidental or ancillary thereto or that constitutes a reasonable extension or expansion thereof, or any business reasonably related to the telecommunications industry, and the acquisition, holding or exploitation of any license relating to the delivery of those services.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w:t>
      </w:r>
      <w:r>
        <w:rPr>
          <w:rFonts w:ascii="Arial" w:cs="Arial" w:eastAsia="Arial" w:hAnsi="Arial"/>
          <w:sz w:val="18"/>
          <w:szCs w:val="18"/>
          <w:color w:val="auto"/>
        </w:rPr>
        <w:t>” means (i) DT and (ii) any direct or indirect Subsidiary of DT.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Investment in the Issuer or in any Restricted Subsidiary of the Issuer;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Investment by the Issuer or any Restricted Subsidiary of the Issuer in a Person, if as a result of such Investment: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Issuer; or</w:t>
      </w:r>
    </w:p>
    <w:p>
      <w:pPr>
        <w:spacing w:after="0" w:line="117" w:lineRule="exact"/>
        <w:rPr>
          <w:rFonts w:ascii="Arial" w:cs="Arial" w:eastAsia="Arial" w:hAnsi="Arial"/>
          <w:sz w:val="18"/>
          <w:szCs w:val="18"/>
          <w:color w:val="auto"/>
        </w:rPr>
      </w:pPr>
    </w:p>
    <w:p>
      <w:pPr>
        <w:ind w:left="1360" w:right="819" w:hanging="348"/>
        <w:spacing w:after="0" w:line="263" w:lineRule="auto"/>
        <w:tabs>
          <w:tab w:leader="none" w:pos="13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Issuer or a Restricted Subsidiary of the Issuer;</w:t>
      </w:r>
    </w:p>
    <w:p>
      <w:pPr>
        <w:spacing w:after="0" w:line="75"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75"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the Issuer or Equity Interests of Parent;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5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loans or advances to employees made in the ordinary course of business of the Issuer or any Restricted Subsidiary of the Issuer in an aggregate principal amount not to exceed $50.0 million at any one time outstanding;</w:t>
      </w:r>
    </w:p>
    <w:p>
      <w:pPr>
        <w:spacing w:after="0" w:line="75" w:lineRule="exact"/>
        <w:rPr>
          <w:rFonts w:ascii="Arial" w:cs="Arial" w:eastAsia="Arial" w:hAnsi="Arial"/>
          <w:sz w:val="18"/>
          <w:szCs w:val="18"/>
          <w:color w:val="auto"/>
        </w:rPr>
      </w:pPr>
    </w:p>
    <w:p>
      <w:pPr>
        <w:ind w:left="1000" w:right="319" w:hanging="348"/>
        <w:spacing w:after="0" w:line="301"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any payment on or with respect to, or purchase, redemption, defeasement or other acquisition or retirement for value of (i) the Notes, and any additional Notes of the same series, (ii) the DT Notes, and any additional Notes of the same series, and any Exchange Notes (as defined in the Base Indenture) relating thereto, (iii) any of the $1.75B Notes or (iv) any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w:t>
      </w:r>
    </w:p>
    <w:p>
      <w:pPr>
        <w:spacing w:after="0" w:line="49"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advances and prepayments for asset purchases in the ordinary course of business in a Permitted Business of the Issuer or any of its Restricted Subsidiaries;</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existing on the Closing Date, including Investments held by MetroPCS Wireless, Inc., the Issuer and their Subsidiaries immediately prior to the Merger;</w:t>
      </w:r>
    </w:p>
    <w:p>
      <w:pPr>
        <w:spacing w:after="0" w:line="62"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in the ISIS Joint Venture having an aggregate Fair Market Value (measured on the date each such Investment was made and without giving effect to subsequent changes in value), when taken together with all other Investments made pursuant to this clause (12) since the Closing Date that are at that time outstanding, not to exceed $300.0 million;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117" w:lineRule="exact"/>
        <w:rPr>
          <w:rFonts w:ascii="Arial" w:cs="Arial" w:eastAsia="Arial" w:hAnsi="Arial"/>
          <w:sz w:val="18"/>
          <w:szCs w:val="18"/>
          <w:color w:val="auto"/>
        </w:rPr>
      </w:pPr>
    </w:p>
    <w:p>
      <w:pPr>
        <w:ind w:left="1000" w:right="339" w:hanging="348"/>
        <w:spacing w:after="0" w:line="254"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Permitted Joint Venture Investments, and (b) other Investments in any Person other than an Affiliate of the Issuer (excluding any Person that is an Affiliate of the Issuer solely by reason of Parent’s ownership, directly or indirectly, of Equity Interests or Parent’s control, of such Person or which becomes an Affiliate as a result of such Investment), to the extent such Investment under (a) or (b) has an aggregate Fair Market Value (measured on the date each such Investment was made and without giving effect to subsequent changes in value), when taken together with all other Investments made pursuant to this clause (14) that are at the time outstanding, not to exceed 12.5% of the Issuer’s Total Assets on the date of such Investment;</w:t>
      </w:r>
    </w:p>
    <w:p>
      <w:pPr>
        <w:spacing w:after="0" w:line="83" w:lineRule="exact"/>
        <w:rPr>
          <w:rFonts w:ascii="Arial" w:cs="Arial" w:eastAsia="Arial" w:hAnsi="Arial"/>
          <w:sz w:val="18"/>
          <w:szCs w:val="18"/>
          <w:color w:val="auto"/>
        </w:rPr>
      </w:pPr>
    </w:p>
    <w:p>
      <w:pPr>
        <w:jc w:val="both"/>
        <w:ind w:left="1000" w:right="359" w:hanging="348"/>
        <w:spacing w:after="0" w:line="25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in a Person primarily engaged in a Permitted Business having an aggregate Fair Market Value (measured on the date each such Investment was made and without giving effect to subsequent changes in value), when taken together with all other Investments made pursuant to this clause (15) since the Closing Date that are at that time outstanding, not to exceed the greater of (x) $1,600.0 million and (y) 6.0% of the Consolidated Cash Flow of the Issuer;</w:t>
      </w:r>
    </w:p>
    <w:p>
      <w:pPr>
        <w:spacing w:after="0" w:line="79"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guarantees permitted under the covenant described under the caption “—Certain Covenants—Incurrence of Indebtedness and Issuance of Disqualified Stock and Preferred Stock”;</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deposits or payments made with the FCC in connection with the auction or licensing of Governmental Authorizations;</w:t>
      </w:r>
    </w:p>
    <w:p>
      <w:pPr>
        <w:spacing w:after="0" w:line="62" w:lineRule="exact"/>
        <w:rPr>
          <w:rFonts w:ascii="Arial" w:cs="Arial" w:eastAsia="Arial" w:hAnsi="Arial"/>
          <w:sz w:val="18"/>
          <w:szCs w:val="18"/>
          <w:color w:val="auto"/>
        </w:rPr>
      </w:pPr>
    </w:p>
    <w:p>
      <w:pPr>
        <w:ind w:left="1000" w:right="419" w:hanging="348"/>
        <w:spacing w:after="0" w:line="289"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Investment deemed made from time to time pursuant to the covenant described under the caption “— Certain Covenants—Designation of Restricted and Unrestricted Subsidiaries” in connection with a Specified Unrestricted Subsidiary Designation, in an amount equal to the aggregate Fair Market Value of all outstanding Investments owned by the Issuer and its Restricted Subsidiaries in the Subsidiaries designated as Unrestricted Subsidiaries pursuant to such Specified Unrestricted Subsidiary Designation, but only to the extent not in excess of the aggregate Fair Market Value of all outstanding Investments owned by the Issuer and its Restricted Subsidiaries in such designated Subsidiaries as of the Closing Date (for this purpose, it shall be assumed, as regards to Investments in any Designated Tower Entity, that all wireless communications sites, towers, and related contracts, equipment, improvements, real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93" w:lineRule="auto"/>
        <w:rPr>
          <w:sz w:val="20"/>
          <w:szCs w:val="20"/>
          <w:color w:val="auto"/>
        </w:rPr>
      </w:pPr>
      <w:r>
        <w:rPr>
          <w:rFonts w:ascii="Arial" w:cs="Arial" w:eastAsia="Arial" w:hAnsi="Arial"/>
          <w:sz w:val="16"/>
          <w:szCs w:val="16"/>
          <w:color w:val="auto"/>
        </w:rPr>
        <w:t>estate, and other assets of the Issuer and its Subsidiaries subject to the Towers Transaction that are contemplated to be transferred to the Designated Tower Entities in accordance with the terms of the Towers Transaction, as contemplated in the Towers Transaction Agreements as in effect as of March 19, 2013, had been transferred to the Designated Tower Entities, whether or not all such transfers have in fact then taken place, but disregarding any transfers of assets not part of the Towers Transaction as contemplated in the Towers Transaction Agreements as in effect as of March 19, 2013);</w:t>
      </w:r>
    </w:p>
    <w:p>
      <w:pPr>
        <w:spacing w:after="0" w:line="56" w:lineRule="exact"/>
        <w:rPr>
          <w:sz w:val="20"/>
          <w:szCs w:val="20"/>
          <w:color w:val="auto"/>
        </w:rPr>
      </w:pPr>
    </w:p>
    <w:p>
      <w:pPr>
        <w:ind w:left="1000" w:right="599" w:hanging="348"/>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Investments made in connection with the Towers Transaction, as contemplated in the Towers Transaction Agreements as in effect as of March 19, 2013; and</w:t>
      </w:r>
    </w:p>
    <w:p>
      <w:pPr>
        <w:spacing w:after="0" w:line="62"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Debt to Cash Flow Ratio calculated on a pro forma basis in the manner described in the definition of “Debt to Cash Flow Ratio” after giving effect to such Investment would be equal to or less than 3.50 to 1.00.</w:t>
      </w:r>
    </w:p>
    <w:p>
      <w:pPr>
        <w:spacing w:after="0" w:line="76" w:lineRule="exact"/>
        <w:rPr>
          <w:sz w:val="20"/>
          <w:szCs w:val="20"/>
          <w:color w:val="auto"/>
        </w:rPr>
      </w:pPr>
    </w:p>
    <w:p>
      <w:pPr>
        <w:ind w:left="300" w:right="1059" w:firstLine="360"/>
        <w:spacing w:after="0" w:line="277" w:lineRule="auto"/>
        <w:rPr>
          <w:sz w:val="20"/>
          <w:szCs w:val="20"/>
          <w:color w:val="auto"/>
        </w:rPr>
      </w:pPr>
      <w:r>
        <w:rPr>
          <w:rFonts w:ascii="Arial" w:cs="Arial" w:eastAsia="Arial" w:hAnsi="Arial"/>
          <w:sz w:val="18"/>
          <w:szCs w:val="18"/>
          <w:color w:val="auto"/>
        </w:rPr>
        <w:t>Notwithstanding any other provision to the contrary, no Permitted Investment shall be deemed to be a Restricted Payment.</w:t>
      </w:r>
    </w:p>
    <w:p>
      <w:pPr>
        <w:spacing w:after="0" w:line="62"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 Investment</w:t>
      </w:r>
      <w:r>
        <w:rPr>
          <w:rFonts w:ascii="Arial" w:cs="Arial" w:eastAsia="Arial" w:hAnsi="Arial"/>
          <w:sz w:val="18"/>
          <w:szCs w:val="18"/>
          <w:color w:val="auto"/>
        </w:rPr>
        <w:t>” means, with respect to any specified Person, Investments in any other Person engaged in a Permitted Business of which at least 40% of the outstanding Capital Stock of such other Person is at the time owned directly or indirectly by the specified Person.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000" w:right="439" w:hanging="348"/>
        <w:spacing w:after="0" w:line="271"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Liens securing Specified Indebtedness and other Specified Obligations under Credit Facilities and/or securing Hedging Obligations related thereto permitted by clauses (1), (8) and (19) of the second paragraph of the covenant titled “—Certain Covenants—Incurrence of Indebtedness and Issuance of Disqualified Stock and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secured Permitted Refinancing Indebtedness incurred in respect of Specified Indebtedness or other Specified Obligations previously secured pursuant to this clause (1) will be treated as Specified Indebtedness secured pursuant to this clause (1) in making any determination as to whether additional Specified Indebtedness or other Specified Obligations may be secured pursuant to this clause (1);</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in favor of the Issuer or the Guarantors;</w:t>
      </w:r>
    </w:p>
    <w:p>
      <w:pPr>
        <w:spacing w:after="0" w:line="117" w:lineRule="exact"/>
        <w:rPr>
          <w:rFonts w:ascii="Arial" w:cs="Arial" w:eastAsia="Arial" w:hAnsi="Arial"/>
          <w:sz w:val="18"/>
          <w:szCs w:val="18"/>
          <w:color w:val="auto"/>
        </w:rPr>
      </w:pPr>
    </w:p>
    <w:p>
      <w:pPr>
        <w:ind w:left="1000" w:right="419" w:hanging="348"/>
        <w:spacing w:after="0" w:line="255"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becomes a Subsidiary of the Issuer or is merged with or into or consolidated with the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improvements thereon, accessions thereto and proceeds thereof) other than those of the Person that becomes a Subsidiary of the Issuer or is merged into or consolidated with the Issuer or the Subsidiary;</w:t>
      </w:r>
    </w:p>
    <w:p>
      <w:pPr>
        <w:spacing w:after="0" w:line="84"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and not incurred in contemplation of, such acquisition;</w:t>
      </w:r>
    </w:p>
    <w:p>
      <w:pPr>
        <w:spacing w:after="0" w:line="75" w:lineRule="exact"/>
        <w:rPr>
          <w:rFonts w:ascii="Arial" w:cs="Arial" w:eastAsia="Arial" w:hAnsi="Arial"/>
          <w:sz w:val="18"/>
          <w:szCs w:val="18"/>
          <w:color w:val="auto"/>
        </w:rPr>
      </w:pPr>
    </w:p>
    <w:p>
      <w:pPr>
        <w:ind w:left="1000" w:right="699" w:hanging="348"/>
        <w:spacing w:after="0" w:line="275"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bankers’ Liens, rights of setoff or similar rights and remedies as to deposit accounts or other funds maintained with a depositary institution, and (b) Liens, deposits (including deposits with the FCC) or pledges to secure the performance of bids, tenders, trade or governmental contracts, leases, licenses, statutory obligations, surety or appeal bonds, performance bonds or other obligations of a like nature incurred in the ordinary course of business;</w:t>
      </w:r>
    </w:p>
    <w:p>
      <w:pPr>
        <w:spacing w:after="0" w:line="68" w:lineRule="exact"/>
        <w:rPr>
          <w:rFonts w:ascii="Arial" w:cs="Arial" w:eastAsia="Arial" w:hAnsi="Arial"/>
          <w:sz w:val="17"/>
          <w:szCs w:val="17"/>
          <w:color w:val="auto"/>
        </w:rPr>
      </w:pPr>
    </w:p>
    <w:p>
      <w:pPr>
        <w:ind w:left="1000" w:right="359" w:hanging="348"/>
        <w:spacing w:after="0" w:line="25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to secure Specified Indebtedness (including Financing Lease Obligations) permitted by clause (4) of the second paragraph of the covenant titled “—Certain Covenants—Incurrence of Indebtedness and Issuance of Disqualified Stock and Preferred Stock” covering only the assets (including the proceeds thereof, accessions thereto and upgrades thereof) acquired with or financed by such Specified Indebtedness;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existing on the Series Issue Date;</w:t>
      </w:r>
    </w:p>
    <w:p>
      <w:pPr>
        <w:spacing w:after="0" w:line="117"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99" w:hanging="348"/>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imposed by law or contract, such as carriers’, warehousemen’s, suppliers’, vendors’, construction, repairmen’s, landlord’s and mechanics’ Liens or other similar Liens, in each case, incurred in the ordinary course of business;</w:t>
      </w:r>
    </w:p>
    <w:p>
      <w:pPr>
        <w:spacing w:after="0" w:line="75" w:lineRule="exact"/>
        <w:rPr>
          <w:rFonts w:ascii="Arial" w:cs="Arial" w:eastAsia="Arial" w:hAnsi="Arial"/>
          <w:sz w:val="18"/>
          <w:szCs w:val="18"/>
          <w:color w:val="auto"/>
        </w:rPr>
      </w:pPr>
    </w:p>
    <w:p>
      <w:pPr>
        <w:ind w:left="1000" w:right="479" w:hanging="348"/>
        <w:spacing w:after="0" w:line="290"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survey exceptions, encumbrances, leases, subleases, encroachments, protrusions, easements or reservations of, or rights of others for, licenses, sub-licenses, rights-of-way, servitudes, sewers, electric lines, drains, telegraph and telephone lines and other similar purposes, or zoning, building codes or other restrictions (including defects or irregularities in title and similar encumbrances) as to the use of real property that were not incurred in connection with Specified Indebtedness, or Liens incidental to the conduct of business of such Person or to the ownership of its properties that were not incurred in connection with Specified Indebtedness and that do not in the aggregate materially adversely affect the value of said properties or materially impair their use in the operation of the business of such Person;</w:t>
      </w:r>
    </w:p>
    <w:p>
      <w:pPr>
        <w:spacing w:after="0" w:line="57" w:lineRule="exact"/>
        <w:rPr>
          <w:rFonts w:ascii="Arial" w:cs="Arial" w:eastAsia="Arial" w:hAnsi="Arial"/>
          <w:sz w:val="16"/>
          <w:szCs w:val="16"/>
          <w:color w:val="auto"/>
        </w:rPr>
      </w:pPr>
    </w:p>
    <w:p>
      <w:pPr>
        <w:ind w:left="1000" w:right="659" w:hanging="348"/>
        <w:spacing w:after="0" w:line="31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Liens arising by reason of a judgment, attachment, decree or court order, to the extent not otherwise resulting in an Event of Default, and any Liens that are required to protect or enforce any rights in any administrative, arbitration or other court proceedings in the ordinary course of business;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360" w:right="479" w:hanging="348"/>
        <w:spacing w:after="0" w:line="279" w:lineRule="auto"/>
        <w:tabs>
          <w:tab w:leader="none" w:pos="13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right="519" w:hanging="348"/>
        <w:spacing w:after="0" w:line="296" w:lineRule="auto"/>
        <w:tabs>
          <w:tab w:leader="none" w:pos="13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Specified Indebtedness secured by the new Lien is not increased to any amount greater than the sum of (x) the outstanding principal amount or, if greater, committed amount, of the Specified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53" w:lineRule="exact"/>
        <w:rPr>
          <w:rFonts w:ascii="Arial" w:cs="Arial" w:eastAsia="Arial" w:hAnsi="Arial"/>
          <w:sz w:val="16"/>
          <w:szCs w:val="16"/>
          <w:color w:val="auto"/>
        </w:rPr>
      </w:pPr>
    </w:p>
    <w:p>
      <w:pPr>
        <w:ind w:left="1000" w:right="459" w:hanging="348"/>
        <w:spacing w:after="0" w:line="29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Liens contained in purchase and sale agreements or lease agreements limiting the transfer of assets pending the closing of the transactions contemplated thereby or the termination of the lease, respectively,</w:t>
      </w:r>
    </w:p>
    <w:p>
      <w:pPr>
        <w:ind w:left="1000" w:right="339" w:firstLine="3"/>
        <w:spacing w:after="0" w:line="255" w:lineRule="auto"/>
        <w:tabs>
          <w:tab w:leader="none" w:pos="12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spectrum leases or other similar lease or licensing arrangements contained in, or entered into in connection with, purchase and sale agreements, and (c) Liens relating to deposits or escrows established in connection with purchase and sale agreements;</w:t>
      </w:r>
    </w:p>
    <w:p>
      <w:pPr>
        <w:spacing w:after="0" w:line="81" w:lineRule="exact"/>
        <w:rPr>
          <w:rFonts w:ascii="Arial" w:cs="Arial" w:eastAsia="Arial" w:hAnsi="Arial"/>
          <w:sz w:val="18"/>
          <w:szCs w:val="18"/>
          <w:color w:val="auto"/>
        </w:rPr>
      </w:pPr>
    </w:p>
    <w:p>
      <w:pPr>
        <w:ind w:left="1000" w:right="479" w:hanging="348"/>
        <w:spacing w:after="0" w:line="308" w:lineRule="auto"/>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Liens that may be deemed to exist by virtue of contractual provisions that restrict the ability of the Issuer or any of its Subsidiaries from granting or permitting to exist Liens on their respective assets;</w:t>
      </w:r>
    </w:p>
    <w:p>
      <w:pPr>
        <w:spacing w:after="0" w:line="38"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(x) in favor of the Trustee as provided for in the Indenture on money or property held or collected by the Trustee in its capacity as trustee and (y) on Specified Cash Equivalents securing obligations under any Specified Indebtedness of the Issuer or any Subsidiary of the Issuer that has been called for redemption, defeasance or discharge;</w:t>
      </w:r>
    </w:p>
    <w:p>
      <w:pPr>
        <w:spacing w:after="0" w:line="78" w:lineRule="exact"/>
        <w:rPr>
          <w:rFonts w:ascii="Arial" w:cs="Arial" w:eastAsia="Arial" w:hAnsi="Arial"/>
          <w:sz w:val="18"/>
          <w:szCs w:val="18"/>
          <w:color w:val="auto"/>
        </w:rPr>
      </w:pPr>
    </w:p>
    <w:p>
      <w:pPr>
        <w:ind w:left="1000" w:right="339" w:hanging="348"/>
        <w:spacing w:after="0" w:line="290" w:lineRule="auto"/>
        <w:tabs>
          <w:tab w:leader="none" w:pos="10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Liens on Specified Cash Equivalents securing (a) workers’ compensation claims, self-insurance obligations, unemployment insurance or other social security, old age pension, bankers’ acceptances, performance bonds, completion bonds, bid bonds, appeal bonds, indemnity bonds, specific performance or injunctive relief bonds, surety bonds, public liability obligations, or other similar bonds or obligations, or securing any Specified Guarantees or letters of credit functioning as or supporting any of the foregoing, in each case incurred in the ordinary course of business or (b) letters of credit required to be issued for the benefit of any Person that controls a Specified Permitted Joint Venture Investment to secure any put right for the benefit of the Person controlling the Specified Permitted Joint Venture Investment;</w:t>
      </w:r>
    </w:p>
    <w:p>
      <w:pPr>
        <w:spacing w:after="0" w:line="57" w:lineRule="exact"/>
        <w:rPr>
          <w:rFonts w:ascii="Arial" w:cs="Arial" w:eastAsia="Arial" w:hAnsi="Arial"/>
          <w:sz w:val="16"/>
          <w:szCs w:val="16"/>
          <w:color w:val="auto"/>
        </w:rPr>
      </w:pPr>
    </w:p>
    <w:p>
      <w:pPr>
        <w:ind w:left="1000" w:right="499" w:hanging="348"/>
        <w:spacing w:after="0" w:line="342" w:lineRule="auto"/>
        <w:tabs>
          <w:tab w:leader="none" w:pos="10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Liens arising from Uniform Commercial Code financing statement filings (or similar filings in any other jurisdiction) regarding operating leases or consignments or sales of receivables entered into in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39"/>
        <w:spacing w:after="0" w:line="259" w:lineRule="auto"/>
        <w:rPr>
          <w:sz w:val="20"/>
          <w:szCs w:val="20"/>
          <w:color w:val="auto"/>
        </w:rPr>
      </w:pPr>
      <w:r>
        <w:rPr>
          <w:rFonts w:ascii="Arial" w:cs="Arial" w:eastAsia="Arial" w:hAnsi="Arial"/>
          <w:sz w:val="18"/>
          <w:szCs w:val="18"/>
          <w:color w:val="auto"/>
        </w:rPr>
        <w:t>ordinary course of business covering only the property under lease (plus improvements and accessions to such property and proceeds or distributions of such property and improvements and accessions thereto), consignment or sale and other Liens arising solely from precautionary UCC financing statements or similar filings;</w:t>
      </w:r>
    </w:p>
    <w:p>
      <w:pPr>
        <w:spacing w:after="0" w:line="79" w:lineRule="exact"/>
        <w:rPr>
          <w:sz w:val="20"/>
          <w:szCs w:val="20"/>
          <w:color w:val="auto"/>
        </w:rPr>
      </w:pPr>
    </w:p>
    <w:p>
      <w:pPr>
        <w:ind w:left="1000" w:right="81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interest or title of a lessor, licensor or sublicensor in the property subject to any lease, license or sublicense entered into in the ordinary course of business;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on Specified Cash Equivalents on deposit to secure reimbursement obligations under letters of credit incurred in the ordinary course of business;</w:t>
      </w:r>
    </w:p>
    <w:p>
      <w:pPr>
        <w:spacing w:after="0" w:line="62" w:lineRule="exact"/>
        <w:rPr>
          <w:rFonts w:ascii="Arial" w:cs="Arial" w:eastAsia="Arial" w:hAnsi="Arial"/>
          <w:sz w:val="18"/>
          <w:szCs w:val="18"/>
          <w:color w:val="auto"/>
        </w:rPr>
      </w:pPr>
    </w:p>
    <w:p>
      <w:pPr>
        <w:ind w:left="1000" w:right="339" w:hanging="348"/>
        <w:spacing w:after="0" w:line="291"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 prior to the occurrence of an Investment Grade Event Election, Liens on and pledges of the Equity Interests of any Unrestricted Subsidiary or any Person that is a Permitted Joint Venture Investment owned by the Issuer or any Restricted Subsidiary to the extent securing Non-Recourse Debt or other Indebtedness of such Unrestricted Subsidiary or Person and (ii) following the occurrence of an Investment Grade Event Election, Liens on and pledges of the Equity Interests of any Person that is an unrestricted subsidiary under any Credit Facility or any joint venture owned by the Issuer or any Subsidiary of the Issuer to the extent securing Non-Recourse Debt or other Specified Indebtedness of such Person;</w:t>
      </w:r>
    </w:p>
    <w:p>
      <w:pPr>
        <w:spacing w:after="0" w:line="58" w:lineRule="exact"/>
        <w:rPr>
          <w:rFonts w:ascii="Arial" w:cs="Arial" w:eastAsia="Arial" w:hAnsi="Arial"/>
          <w:sz w:val="16"/>
          <w:szCs w:val="16"/>
          <w:color w:val="auto"/>
        </w:rPr>
      </w:pPr>
    </w:p>
    <w:p>
      <w:pPr>
        <w:ind w:left="1000" w:right="419" w:hanging="348"/>
        <w:spacing w:after="0" w:line="311"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contracts for sale and other agreements arising in the ordinary course of business that are customary in the Specified Permitted Business, and applicable only to the assets that are the subject of such agreements or contracts;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in the ordinary course of business;</w:t>
      </w:r>
    </w:p>
    <w:p>
      <w:pPr>
        <w:spacing w:after="0" w:line="38" w:lineRule="exact"/>
        <w:rPr>
          <w:rFonts w:ascii="Arial" w:cs="Arial" w:eastAsia="Arial" w:hAnsi="Arial"/>
          <w:sz w:val="17"/>
          <w:szCs w:val="17"/>
          <w:color w:val="auto"/>
        </w:rPr>
      </w:pPr>
    </w:p>
    <w:p>
      <w:pPr>
        <w:ind w:left="1000" w:right="31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1000" w:right="539" w:hanging="348"/>
        <w:spacing w:after="0" w:line="279"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Liens securing any arrangement for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provided to Parent or any of its Subsidiaries;</w:t>
      </w:r>
    </w:p>
    <w:p>
      <w:pPr>
        <w:spacing w:after="0" w:line="63"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at any time the greater of (x) $3,750.0 million and (y) 17.00% of Specified Consolidated Cash Flow determined on a Pro Forma Basis for the most recently ended Test Period;</w:t>
      </w:r>
    </w:p>
    <w:p>
      <w:pPr>
        <w:spacing w:after="0" w:line="75"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if any, incurred in connection with the Specified Towers Transactions;</w:t>
      </w:r>
    </w:p>
    <w:p>
      <w:pPr>
        <w:spacing w:after="0" w:line="117"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Liens securing obligations in respect of the operating lease payments owed to SpectrumCo1 or in respect of any other secured spectrum leases to which the Issuer or any of its Subsidiaries are a party, and any related payment and performance undertaking;</w:t>
      </w:r>
    </w:p>
    <w:p>
      <w:pPr>
        <w:spacing w:after="0" w:line="75"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leases, licenses, subleases and sublicenses of, and the granting of an easement interest in and to, assets (including real property and intellectual property rights and other general intangibles) in the ordinary course of business;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pledges and deposits in the ordinary course of business to secure liability to insurance carriers, insurance companies and brokers;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on equipment of the Issuer or any Subsidiary of the Issuer granted in the ordinary course of business to the Issuer’s or such Subsidiary’s client at which such equipment is located;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on receivables and related assets including proceeds thereof being sold in factoring arrangements in the ordinary course of business;</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customary options, put and call arrangements, rights of first refusal and similar rights relating to Specified Investments in joint ventures, partnerships and similar investment vehicles;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arising out of or deemed to exist in connection with any financing transaction with respect to property owned, built or acquired by the Issuer or any Subsidiary of the Issuer;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securing obligations in respect of the Designated L/C Facilities;</w:t>
      </w:r>
    </w:p>
    <w:p>
      <w:pPr>
        <w:spacing w:after="0" w:line="117" w:lineRule="exact"/>
        <w:rPr>
          <w:rFonts w:ascii="Arial" w:cs="Arial" w:eastAsia="Arial" w:hAnsi="Arial"/>
          <w:sz w:val="18"/>
          <w:szCs w:val="18"/>
          <w:color w:val="auto"/>
        </w:rPr>
      </w:pPr>
    </w:p>
    <w:p>
      <w:pPr>
        <w:jc w:val="both"/>
        <w:ind w:left="1000" w:right="459" w:hanging="348"/>
        <w:spacing w:after="0" w:line="259"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on the cash proceeds (and the related escrow account, and any money market funds or securities in which such cash proceeds are invested during the applicable escrow period) of any issuance of Specified Indebtedness in connection with the cash proceeds of such Specified Indebtedness being placed into (and pending the release from) escrow; and</w:t>
      </w:r>
    </w:p>
    <w:p>
      <w:pPr>
        <w:spacing w:after="0" w:line="78" w:lineRule="exact"/>
        <w:rPr>
          <w:rFonts w:ascii="Arial" w:cs="Arial" w:eastAsia="Arial" w:hAnsi="Arial"/>
          <w:sz w:val="18"/>
          <w:szCs w:val="18"/>
          <w:color w:val="auto"/>
        </w:rPr>
      </w:pPr>
    </w:p>
    <w:p>
      <w:pPr>
        <w:ind w:left="1000" w:right="459" w:hanging="348"/>
        <w:spacing w:after="0" w:line="25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 incurred in connection with all transactions (i) contemplated by the Boost Asset Purchase Agreement and (ii) entered into pursuant to the consent decree originally filed by the U.S. Department of Justice with the U.S. District Court for the District of Columbia on July 26, 2019, as agreed to the U.S. Department of Justice, Parent, DT, Sprint Corporation, SoftBank Group Corp., and DISH Network Corporation, as it may be further amended or modified.</w:t>
      </w:r>
    </w:p>
    <w:p>
      <w:pPr>
        <w:spacing w:after="0" w:line="80"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MetroPCS Notes</w:t>
      </w:r>
      <w:r>
        <w:rPr>
          <w:rFonts w:ascii="Arial" w:cs="Arial" w:eastAsia="Arial" w:hAnsi="Arial"/>
          <w:sz w:val="18"/>
          <w:szCs w:val="18"/>
          <w:color w:val="auto"/>
        </w:rPr>
        <w:t>” shall have the meaning assigned to such term in the Business Combination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Post-IG Event Election Liens</w:t>
      </w:r>
      <w:r>
        <w:rPr>
          <w:rFonts w:ascii="Arial" w:cs="Arial" w:eastAsia="Arial" w:hAnsi="Arial"/>
          <w:sz w:val="18"/>
          <w:szCs w:val="18"/>
          <w:color w:val="auto"/>
        </w:rPr>
        <w:t>” means:</w:t>
      </w:r>
    </w:p>
    <w:p>
      <w:pPr>
        <w:spacing w:after="0" w:line="117" w:lineRule="exact"/>
        <w:rPr>
          <w:sz w:val="20"/>
          <w:szCs w:val="20"/>
          <w:color w:val="auto"/>
        </w:rPr>
      </w:pPr>
    </w:p>
    <w:p>
      <w:pPr>
        <w:ind w:left="1000" w:right="87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Permitted Liens, other than those Permitted Liens incurred pursuant to clause (1), (6) and (7) of the definition thereof;</w:t>
      </w:r>
    </w:p>
    <w:p>
      <w:pPr>
        <w:spacing w:after="0" w:line="62" w:lineRule="exact"/>
        <w:rPr>
          <w:rFonts w:ascii="Arial" w:cs="Arial" w:eastAsia="Arial" w:hAnsi="Arial"/>
          <w:sz w:val="18"/>
          <w:szCs w:val="18"/>
          <w:color w:val="auto"/>
        </w:rPr>
      </w:pPr>
    </w:p>
    <w:p>
      <w:pPr>
        <w:ind w:left="1000" w:right="439" w:hanging="348"/>
        <w:spacing w:after="0" w:line="287"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Liens to secure Specified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Liens securing Specified Indebtedness permitted to be incurred pursuant to this clause (2) extend only to the assets purchased with the proceeds of such Specified Indebtedness, accessions to such assets, lease and sublease interests related thereto and upgrades thereof and the proceeds and products thereof, any lease of such assets (including accessions thereto) and the proceeds and products thereof and customary security deposits in respect thereof; provided, however, that individual financings of equipment provided by one lender may be cross collateralized to other financings of equipment provided by such lender;</w:t>
      </w:r>
    </w:p>
    <w:p>
      <w:pPr>
        <w:spacing w:after="0" w:line="63" w:lineRule="exact"/>
        <w:rPr>
          <w:rFonts w:ascii="Arial" w:cs="Arial" w:eastAsia="Arial" w:hAnsi="Arial"/>
          <w:sz w:val="16"/>
          <w:szCs w:val="16"/>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existing on the Series Issue Date (other than Liens permitted by clause (4) below);</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 created for the benefit of (or to secure) First Lien Obligations in an aggregate principal amount not to exceed $19.0 billion at any time outstanding;</w:t>
      </w:r>
    </w:p>
    <w:p>
      <w:pPr>
        <w:spacing w:after="0" w:line="62" w:lineRule="exact"/>
        <w:rPr>
          <w:rFonts w:ascii="Arial" w:cs="Arial" w:eastAsia="Arial" w:hAnsi="Arial"/>
          <w:sz w:val="18"/>
          <w:szCs w:val="18"/>
          <w:color w:val="auto"/>
        </w:rPr>
      </w:pPr>
    </w:p>
    <w:p>
      <w:pPr>
        <w:ind w:left="1000" w:right="479" w:hanging="348"/>
        <w:spacing w:after="0" w:line="308"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Liens with respect to Specified Obligations that do not exceed 15% of Consolidated Net Tangible Assets determined on a Pro Forma Basis for the most recently ended Test Period; and</w:t>
      </w:r>
    </w:p>
    <w:p>
      <w:pPr>
        <w:spacing w:after="0" w:line="38" w:lineRule="exact"/>
        <w:rPr>
          <w:rFonts w:ascii="Arial" w:cs="Arial" w:eastAsia="Arial" w:hAnsi="Arial"/>
          <w:sz w:val="17"/>
          <w:szCs w:val="17"/>
          <w:color w:val="auto"/>
        </w:rPr>
      </w:pPr>
    </w:p>
    <w:p>
      <w:pPr>
        <w:ind w:left="1000" w:right="579" w:hanging="348"/>
        <w:spacing w:after="0" w:line="296"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to secure any modification, refinancing, refunding, restatement, exchange, extension, renewal or replacement (or successive refinancing, refunding, restatement, exchange, extensions, renewals or replacements) as a whole, or in part, of any Specified Indebtedness secured by any Lien included or incorporated by reference in this definition of “Permitted Post-IG Event Election Liens” (including any accrued but unpaid interest thereon and any dividend, premium (including tender premiums),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879"/>
        <w:spacing w:after="0" w:line="311" w:lineRule="auto"/>
        <w:rPr>
          <w:sz w:val="20"/>
          <w:szCs w:val="20"/>
          <w:color w:val="auto"/>
        </w:rPr>
      </w:pPr>
      <w:r>
        <w:rPr>
          <w:rFonts w:ascii="Arial" w:cs="Arial" w:eastAsia="Arial" w:hAnsi="Arial"/>
          <w:sz w:val="16"/>
          <w:szCs w:val="16"/>
          <w:color w:val="auto"/>
        </w:rPr>
        <w:t xml:space="preserve">defeasance costs, underwriting discounts and any fees, costs and expenses (including original issue discount, upfront fees or similar fees) incurred in connection with such modification, refinancing, refunding, restatement, exchange, extension, renewal or replacement);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41" w:lineRule="exact"/>
        <w:rPr>
          <w:sz w:val="20"/>
          <w:szCs w:val="20"/>
          <w:color w:val="auto"/>
        </w:rPr>
      </w:pPr>
    </w:p>
    <w:p>
      <w:pPr>
        <w:ind w:left="1360" w:right="479" w:hanging="348"/>
        <w:spacing w:after="0" w:line="279" w:lineRule="auto"/>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right="519" w:hanging="348"/>
        <w:spacing w:after="0" w:line="296" w:lineRule="auto"/>
        <w:tabs>
          <w:tab w:leader="none" w:pos="13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Specified Indebtedness secured by the new Lien is not increased to any amount greater than the sum of (x) the outstanding principal amount or, if greater, committed amount, of the Specified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Payments to Parent</w:t>
      </w:r>
      <w:r>
        <w:rPr>
          <w:rFonts w:ascii="Arial" w:cs="Arial" w:eastAsia="Arial" w:hAnsi="Arial"/>
          <w:sz w:val="18"/>
          <w:szCs w:val="18"/>
          <w:color w:val="auto"/>
        </w:rPr>
        <w:t>” means, without duplication as to amounts:</w:t>
      </w:r>
    </w:p>
    <w:p>
      <w:pPr>
        <w:spacing w:after="0" w:line="117" w:lineRule="exact"/>
        <w:rPr>
          <w:sz w:val="20"/>
          <w:szCs w:val="20"/>
          <w:color w:val="auto"/>
        </w:rPr>
      </w:pPr>
    </w:p>
    <w:p>
      <w:pPr>
        <w:ind w:left="1000" w:right="719" w:hanging="348"/>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payments to Parent to permit Parent to pay reasonable accounting, legal, investment banking fees and administrative expenses of Parent when due; and</w:t>
      </w:r>
    </w:p>
    <w:p>
      <w:pPr>
        <w:spacing w:after="0" w:line="62" w:lineRule="exact"/>
        <w:rPr>
          <w:rFonts w:ascii="Arial" w:cs="Arial" w:eastAsia="Arial" w:hAnsi="Arial"/>
          <w:sz w:val="18"/>
          <w:szCs w:val="18"/>
          <w:color w:val="auto"/>
        </w:rPr>
      </w:pPr>
    </w:p>
    <w:p>
      <w:pPr>
        <w:ind w:left="1000" w:right="339" w:hanging="348"/>
        <w:spacing w:after="0" w:line="290" w:lineRule="auto"/>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so long as the Issuer is a member of a group filing a consolidated or combined tax return with Parent, payments to Parent in respect of an allocable portion of the tax liabilities of such group that is attributable to the Issuer and its Subsidiaries (“Tax Payments”). The Tax Payments shall not exceed the lesser of (i) the amount of the relevant tax (including any penalties and interest) that the Issuer would owe if the Issuer were filing a separate tax return (or a separate consolidated or combined return with its Subsidiaries that are members of the consolidated or combined group), taking into account any carryovers and carrybacks of tax attributes (such as net operating losses) of the Issuer and such Subsidiaries from other taxable years and (ii) the net amount of the relevant tax that Parent actually owes to the appropriate taxing authority.</w:t>
      </w:r>
    </w:p>
    <w:p>
      <w:pPr>
        <w:spacing w:after="0" w:line="57" w:lineRule="exact"/>
        <w:rPr>
          <w:sz w:val="20"/>
          <w:szCs w:val="20"/>
          <w:color w:val="auto"/>
        </w:rPr>
      </w:pPr>
    </w:p>
    <w:p>
      <w:pPr>
        <w:ind w:left="300" w:right="57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w:t>
      </w:r>
      <w:r>
        <w:rPr>
          <w:rFonts w:ascii="Arial" w:cs="Arial" w:eastAsia="Arial" w:hAnsi="Arial"/>
          <w:sz w:val="16"/>
          <w:szCs w:val="16"/>
          <w:color w:val="auto"/>
        </w:rPr>
        <w:t>” means any Receivables Financing of a Permitted Receivables Financing Subsidiary the terms of which (including financing terms, covenants, termination events and other provisions)</w:t>
      </w:r>
    </w:p>
    <w:p>
      <w:pPr>
        <w:ind w:left="300" w:right="899" w:hanging="8"/>
        <w:spacing w:after="0" w:line="255" w:lineRule="auto"/>
        <w:tabs>
          <w:tab w:leader="none" w:pos="5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have been negotiated at arm’s length and (b) are, in the good faith determination of the Issuer’s Board of Directors or a senior financial officer of the Issuer, which determination shall be conclusive, in the aggregate economically fair and reasonable to the Issuer and its Subsidiaries.</w:t>
      </w:r>
    </w:p>
    <w:p>
      <w:pPr>
        <w:spacing w:after="0" w:line="82"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 Financing Assets</w:t>
      </w:r>
      <w:r>
        <w:rPr>
          <w:rFonts w:ascii="Arial" w:cs="Arial" w:eastAsia="Arial" w:hAnsi="Arial"/>
          <w:sz w:val="18"/>
          <w:szCs w:val="18"/>
          <w:color w:val="auto"/>
        </w:rPr>
        <w:t>” means financial assets, including accounts receivable, chattel paper and other payment rights, and related assets (including contract rights and insurance payments), and the proceeds thereof.</w:t>
      </w:r>
    </w:p>
    <w:p>
      <w:pPr>
        <w:spacing w:after="0" w:line="76"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 Subsidiary</w:t>
      </w:r>
      <w:r>
        <w:rPr>
          <w:rFonts w:ascii="Arial" w:cs="Arial" w:eastAsia="Arial" w:hAnsi="Arial"/>
          <w:sz w:val="16"/>
          <w:szCs w:val="16"/>
          <w:color w:val="auto"/>
        </w:rPr>
        <w:t>” means, collectively, (i) each Existing Receivables Financing Subsidiary, (ii) each other Wholly-Owned Subsidiary of the Issuer that engages in no material activities other than in connection with Permitted Receivables Financings and any business or activities incidental or related to such business and (iii) any other Person formed for the purposes of engaging in a Permitted Receivables Financing in which the Issuer or any of its Subsidiaries makes a Specified Investment and to which the Issuer or any of its Subsidiaries transfers Permitted Receivables Financing Assets that engages in no material activities other than in connection with Permitted Receivables Financings, and any business or activities incidental or related to such business, and in the case of clause (ii) or (iii) above which is designated by the Board of Directors of the Issuer (as provided below) as a Permitted Receivables Financing Subsidiary and in each case (a) no portion of the Specified Indebtedness (contingent or otherwise) of which (i) is guaranteed by Parent, the Issuer or any of their Subsidiaries, other than another Permitted Receivables Financing Subsidiary or (to the extent that it might be deemed a guaranty) pursuant to Standard Securitization Undertakings, or (ii) is recourse to or obligates Parent, the Issuer or any of their Subsidiaries, other than another Permitted Receivables Financing Subsidiary, in any way other than pursuant to Standard Securitization Undertakings, (b) to which none of Parent, the Issuer or any of their Subsidiaries, other than another Permitted Receivables Financing Subsidiary, has any obligation to maintain or preserve such entity’s financial condition or cause such entity to achieve certain levels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of operating results. Any such designation by the Board of Directors of the Issuer shall be evidenced to the Trustee by delivery to the Trustee of a certified copy of the resolution of the Board of Directors of the Issuer giving effect to such designation and a certificate executed by a Responsible Officer certifying that such designation complied with the foregoing conditions.</w:t>
      </w:r>
    </w:p>
    <w:p>
      <w:pPr>
        <w:spacing w:after="0" w:line="79" w:lineRule="exact"/>
        <w:rPr>
          <w:sz w:val="20"/>
          <w:szCs w:val="20"/>
          <w:color w:val="auto"/>
        </w:rPr>
      </w:pPr>
    </w:p>
    <w:p>
      <w:pPr>
        <w:ind w:left="300" w:right="47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Issuer or any of its Restricted Subsidiaries, any Disqualified Stock of the Issuer or any Preferred Stock of any Restricted Subsidiary issued to Refinance any other Indebtedness of the Issuer or any of its Restricted Subsidiaries (other than intercompany Indebtedness), any Disqualified Stock of the Issuer or any Preferred Stock of a Restricted Subsidiary in a principal amount or, in the case of Disqualified Stock of the Issuer or Preferred Stock of a Restricted Subsidiary, liquidation preference, not to exceed (after deduction of reasonable and customary fees and expenses incurred in connection with the Refinancing) the lesser of:</w:t>
      </w:r>
    </w:p>
    <w:p>
      <w:pPr>
        <w:spacing w:after="0" w:line="69" w:lineRule="exact"/>
        <w:rPr>
          <w:sz w:val="20"/>
          <w:szCs w:val="20"/>
          <w:color w:val="auto"/>
        </w:rPr>
      </w:pPr>
    </w:p>
    <w:p>
      <w:pPr>
        <w:ind w:left="1000" w:right="359" w:hanging="348"/>
        <w:spacing w:after="0" w:line="286" w:lineRule="auto"/>
        <w:tabs>
          <w:tab w:leader="none" w:pos="10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principal amount or, in the case of Disqualified Stock or Preferred Stock, liquidation preference, of the Indebtedness, Disqualified Stock or Preferred Stock so Refinanced (plus, in the case of Indebtedness, the amount of accrued interest and premium, if any paid in connection therewith), and</w:t>
      </w:r>
    </w:p>
    <w:p>
      <w:pPr>
        <w:spacing w:after="0" w:line="57" w:lineRule="exact"/>
        <w:rPr>
          <w:rFonts w:ascii="Arial" w:cs="Arial" w:eastAsia="Arial" w:hAnsi="Arial"/>
          <w:sz w:val="17"/>
          <w:szCs w:val="17"/>
          <w:color w:val="auto"/>
        </w:rPr>
      </w:pPr>
    </w:p>
    <w:p>
      <w:pPr>
        <w:ind w:left="1000" w:right="619" w:hanging="348"/>
        <w:spacing w:after="0" w:line="342" w:lineRule="auto"/>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the Indebtedness being Refinanced was issued with any original issue discount, the accreted value of such Indebtedness (as determined in accordance with GAAP) at the time of such Refinancing;</w:t>
      </w:r>
    </w:p>
    <w:p>
      <w:pPr>
        <w:spacing w:after="0" w:line="16"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 xml:space="preserve">in each case, except to the extent that any such excess principal amount (or accreted value, as applicable) would be then permitted to be incurred by other provisions of the covenant described above under the caption “—Certain Covenants—Incurrence of Indebtedness and Issuance of Disqualified Stock and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excess principal amount of Indebtedness shall be deemed to be incurred under such other provision.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preceding, no Indebtedness, Disqualified Stock or Preferred Stock will be deemed to be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Permitted Refinancing Indebtedness, unless:</w:t>
      </w:r>
    </w:p>
    <w:p>
      <w:pPr>
        <w:spacing w:after="0" w:line="103" w:lineRule="exact"/>
        <w:rPr>
          <w:sz w:val="20"/>
          <w:szCs w:val="20"/>
          <w:color w:val="auto"/>
        </w:rPr>
      </w:pPr>
    </w:p>
    <w:p>
      <w:pPr>
        <w:ind w:left="1000" w:right="479" w:hanging="348"/>
        <w:spacing w:after="0" w:line="279"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such Indebtedness, Disqualified Stock or Preferred Stock has a final maturity date or redemption date, as applicable, later than the final maturity date or redemption date, as applicable, of, and has a Weighted Average Life to Maturity equal to or greater than the Weighted Average Life to Maturity of, the Indebtedness, Disqualified Stock or Preferred Stock being Refinanced;</w:t>
      </w:r>
    </w:p>
    <w:p>
      <w:pPr>
        <w:spacing w:after="0" w:line="63" w:lineRule="exact"/>
        <w:rPr>
          <w:rFonts w:ascii="Arial" w:cs="Arial" w:eastAsia="Arial" w:hAnsi="Arial"/>
          <w:sz w:val="17"/>
          <w:szCs w:val="17"/>
          <w:color w:val="auto"/>
        </w:rPr>
      </w:pPr>
    </w:p>
    <w:p>
      <w:pPr>
        <w:ind w:left="1000" w:right="359" w:hanging="348"/>
        <w:spacing w:after="0" w:line="275"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the Indebtedness, Disqualified Stock or Preferred Stock being Refinanced is contractually subordinated in right of payment to the Notes, such Indebtedness, Disqualified Stock or Preferred Stock is contractually subordinated in right of payment to, the Notes, on terms at least as favorable to the holders of Notes as those contained in the documentation governing the Indebtedness, Disqualified Stock or Preferred Stock being Refinanced at the time of the Refinancing; and</w:t>
      </w:r>
    </w:p>
    <w:p>
      <w:pPr>
        <w:spacing w:after="0" w:line="68" w:lineRule="exact"/>
        <w:rPr>
          <w:rFonts w:ascii="Arial" w:cs="Arial" w:eastAsia="Arial" w:hAnsi="Arial"/>
          <w:sz w:val="17"/>
          <w:szCs w:val="17"/>
          <w:color w:val="auto"/>
        </w:rPr>
      </w:pPr>
    </w:p>
    <w:p>
      <w:pPr>
        <w:ind w:left="1000" w:right="379" w:hanging="348"/>
        <w:spacing w:after="0" w:line="279"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such Indebtedness or Disqualified Stock is incurred or issued by the Issuer or such Indebtedness, Disqualified Stock or Preferred Stock is incurred or issued by the Restricted Subsidiary who is the obligor on the Indebtedness being Refinanced or the issuer of the Disqualified Stock or Preferred Stock being Refinanced, or a Restricted Subsidiary of such obligor or issuer.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Spectrum Financing</w:t>
      </w:r>
      <w:r>
        <w:rPr>
          <w:rFonts w:ascii="Arial" w:cs="Arial" w:eastAsia="Arial" w:hAnsi="Arial"/>
          <w:sz w:val="18"/>
          <w:szCs w:val="18"/>
          <w:color w:val="auto"/>
        </w:rPr>
        <w:t>” means the Existing Sprint Spectrum Transaction.</w:t>
      </w:r>
    </w:p>
    <w:p>
      <w:pPr>
        <w:spacing w:after="0" w:line="117" w:lineRule="exact"/>
        <w:rPr>
          <w:sz w:val="20"/>
          <w:szCs w:val="20"/>
          <w:color w:val="auto"/>
        </w:rPr>
      </w:pPr>
    </w:p>
    <w:p>
      <w:pPr>
        <w:jc w:val="both"/>
        <w:ind w:left="300" w:right="37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Spectrum Financing Subsidiary</w:t>
      </w:r>
      <w:r>
        <w:rPr>
          <w:rFonts w:ascii="Arial" w:cs="Arial" w:eastAsia="Arial" w:hAnsi="Arial"/>
          <w:sz w:val="16"/>
          <w:szCs w:val="16"/>
          <w:color w:val="auto"/>
        </w:rPr>
        <w:t>” means, collectively, (i) the Existing Sprint Spectrum Note Entities and (ii) any future special purpose vehicle Subsidiaries of the Issuer (including any “Depositors” and “Intermediate HoldCos”) formed as part of and for the purpose of consummating a future transaction similar to the Existing Sprint Spectrum Transaction, together with their successors and assigns and any Subsidiary thereof.</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w:t>
      </w:r>
      <w:r>
        <w:rPr>
          <w:rFonts w:ascii="Arial" w:cs="Arial" w:eastAsia="Arial" w:hAnsi="Arial"/>
          <w:sz w:val="18"/>
          <w:szCs w:val="18"/>
          <w:color w:val="auto"/>
        </w:rPr>
        <w:t>” means the Specified Towers Transactions.</w:t>
      </w:r>
    </w:p>
    <w:p>
      <w:pPr>
        <w:spacing w:after="0" w:line="117"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 Subsidiary</w:t>
      </w:r>
      <w:r>
        <w:rPr>
          <w:rFonts w:ascii="Arial" w:cs="Arial" w:eastAsia="Arial" w:hAnsi="Arial"/>
          <w:sz w:val="18"/>
          <w:szCs w:val="18"/>
          <w:color w:val="auto"/>
        </w:rPr>
        <w:t>” means any financing subsidiary formed in connection with a Permitted Tower Financing.</w:t>
      </w:r>
    </w:p>
    <w:p>
      <w:pPr>
        <w:spacing w:after="0" w:line="62"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62"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Phoenix Towers Transaction Agreements</w:t>
      </w:r>
      <w:r>
        <w:rPr>
          <w:rFonts w:ascii="Arial" w:cs="Arial" w:eastAsia="Arial" w:hAnsi="Arial"/>
          <w:sz w:val="16"/>
          <w:szCs w:val="16"/>
          <w:color w:val="auto"/>
        </w:rPr>
        <w:t>” means (i) the Purchase and Sale Agreement, dated as of July 30, 2015 (as the same may be amended, modified, or supplemented from time to time), among the Issuer, certain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55" w:lineRule="auto"/>
        <w:rPr>
          <w:sz w:val="20"/>
          <w:szCs w:val="20"/>
          <w:color w:val="auto"/>
        </w:rPr>
      </w:pPr>
      <w:r>
        <w:rPr>
          <w:rFonts w:ascii="Arial" w:cs="Arial" w:eastAsia="Arial" w:hAnsi="Arial"/>
          <w:sz w:val="18"/>
          <w:szCs w:val="18"/>
          <w:color w:val="auto"/>
        </w:rPr>
        <w:t>Subsidiaries of the Issuer, PTI US Acquisitions, LLC, and each sale site subsidiary party thereto; (ii) the Purchase and Sale Agreement (PR Sale Sites), dated as of October 28, 2015 (as the same may be amended, modified, or supplemented from time to time), among the Issuer, certain Subsidiaries of the Issuer, PTI US Acquisitions, LLC, and each sale site subsidiary party thereto; and (iii) each of the other transaction documents entered into in connection therewith or contemplated thereby, as they may be amended, modified or supplemented from time to time.</w:t>
      </w:r>
    </w:p>
    <w:p>
      <w:pPr>
        <w:spacing w:after="0" w:line="84"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Post-Petition Interest</w:t>
      </w:r>
      <w:r>
        <w:rPr>
          <w:rFonts w:ascii="Arial" w:cs="Arial" w:eastAsia="Arial" w:hAnsi="Arial"/>
          <w:sz w:val="18"/>
          <w:szCs w:val="18"/>
          <w:color w:val="auto"/>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or allowable in any such Insolvency Proceeding.</w:t>
      </w:r>
    </w:p>
    <w:p>
      <w:pPr>
        <w:spacing w:after="0" w:line="79"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Capital Stock of such Person that has preferential rights to any other Capital Stock of such Person with respect to dividends or payments upon liquidation.</w:t>
      </w:r>
    </w:p>
    <w:p>
      <w:pPr>
        <w:spacing w:after="0" w:line="1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and the equipment located thereon which (a) is owned by the Issuer or any of its Subsidiaries; (b) has not been determined in good faith by the Board of Directors of the Issuer not to be materially important to the total business conducted by Issuer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w:t>
      </w:r>
    </w:p>
    <w:p>
      <w:pPr>
        <w:spacing w:after="0" w:line="70"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Basis</w:t>
      </w:r>
      <w:r>
        <w:rPr>
          <w:rFonts w:ascii="Arial" w:cs="Arial" w:eastAsia="Arial" w:hAnsi="Arial"/>
          <w:sz w:val="17"/>
          <w:szCs w:val="17"/>
          <w:color w:val="auto"/>
        </w:rPr>
        <w:t xml:space="preserve">” means, with respect to compliance with any test or covenant or calculation of any ratio hereunder, the determination or calculation of such test, covenant or ratio (including in connection with Pro Forma Transactions) in accordance with the following provisions,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57" w:lineRule="exact"/>
        <w:rPr>
          <w:sz w:val="20"/>
          <w:szCs w:val="20"/>
          <w:color w:val="auto"/>
        </w:rPr>
      </w:pPr>
    </w:p>
    <w:p>
      <w:pPr>
        <w:ind w:left="1000" w:right="379" w:hanging="348"/>
        <w:spacing w:after="0" w:line="291" w:lineRule="auto"/>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pro forma effect shall be given to any transaction (including giving pro forma effect to any related financing transactions and the application of proceeds of any asset disposition) that has been made by any Person that has become a Subsidiary of the Issuer or has been merged with or into the Issuer or any Subsidiary of the Issuer during the relevant Test Period or subsequent to such period but on or prior to the date on which compliance is to be evaluated and that would have constituted a Pro Forma Transaction had such transactions occurred when such Person was a Subsidiary of the Issuer, as if such transaction was a Pro Forma Transaction that occurred on the first day of such relevant Test Period; and</w:t>
      </w:r>
    </w:p>
    <w:p>
      <w:pPr>
        <w:spacing w:after="0" w:line="58" w:lineRule="exact"/>
        <w:rPr>
          <w:rFonts w:ascii="Arial" w:cs="Arial" w:eastAsia="Arial" w:hAnsi="Arial"/>
          <w:sz w:val="16"/>
          <w:szCs w:val="16"/>
          <w:color w:val="auto"/>
        </w:rPr>
      </w:pPr>
    </w:p>
    <w:p>
      <w:pPr>
        <w:ind w:left="1000" w:right="319" w:hanging="348"/>
        <w:spacing w:after="0" w:line="275" w:lineRule="auto"/>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Specified Consolidated Cash Flow for such reference period shall be calculated without giving effect to clause (3) of the proviso set forth in the definition of Specified Consolidated Net Income.</w:t>
      </w:r>
    </w:p>
    <w:p>
      <w:pPr>
        <w:spacing w:after="0" w:line="68"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 Forma Transactions</w:t>
      </w:r>
      <w:r>
        <w:rPr>
          <w:rFonts w:ascii="Arial" w:cs="Arial" w:eastAsia="Arial" w:hAnsi="Arial"/>
          <w:sz w:val="17"/>
          <w:szCs w:val="17"/>
          <w:color w:val="auto"/>
        </w:rPr>
        <w:t>” means, (x) the Sprint Transactions, (y) any incurrence or repayment of Specified Indebtedness (other than working capital or Specified Indebtedness incurred in the ordinary course of business), any Specified Investment that results in a Person becoming a Subsidiary of the Issuer, any Permitted Acquisition or disposition that results in a Subsidiary ceasing to be a Subsidiary or any Specified Investment constituting an acquisition of assets constituting a business unit, line of business or division of another Person or any disposition of a business unit, line of business or division of the Issuer or any Subsidiary of the Issuer, in each case whether by merger, consolidation, amalgamation or otherwise and in each case under this clause (y) with a Specified Fair Market Value in excess of $25,000,000 and (z) any restructuring or cost saving, operational change or business rationalization initiative or other initiative.</w:t>
      </w:r>
    </w:p>
    <w:p>
      <w:pPr>
        <w:spacing w:after="0" w:line="73"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Q1 Notes Issuances</w:t>
      </w:r>
      <w:r>
        <w:rPr>
          <w:rFonts w:ascii="Arial" w:cs="Arial" w:eastAsia="Arial" w:hAnsi="Arial"/>
          <w:sz w:val="18"/>
          <w:szCs w:val="18"/>
          <w:color w:val="auto"/>
        </w:rPr>
        <w:t>” means, collectively, the Issuer’s issuance on January 14, 2021 of (a) $1.0 billion in aggregate principal amount of its 2.250% Senior Notes due 2026, (b) $1.0 billion in aggregate principal amount of its 2.625% Senior Notes due 2029 and (c) $1.0 billion in aggregate principal amount of its 2.875% Senior Notes due 2031.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Moody’s, S&amp;P, Fitch and, if any of Moody’s, S&amp;P or Fitch ceases to exist or ceases to rate the notes of the applicable series for reasons outside of the control of the Issuer, any other “nationally recognized statistical rating organization” as such term is defined under Section 3(a)(62) of the Exchange Act selected by the Issuer as a replacement agency.</w:t>
      </w:r>
    </w:p>
    <w:p>
      <w:pPr>
        <w:spacing w:after="0" w:line="79"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with respect to any series of Notes means the Notes of such series cease to be rated Investment Grade by at least two Rating Agencies on any day during the Ratings Decline Period.</w:t>
      </w:r>
    </w:p>
    <w:p>
      <w:pPr>
        <w:spacing w:after="0" w:line="62" w:lineRule="exact"/>
        <w:rPr>
          <w:sz w:val="20"/>
          <w:szCs w:val="20"/>
          <w:color w:val="auto"/>
        </w:rPr>
      </w:pPr>
    </w:p>
    <w:p>
      <w:pPr>
        <w:ind w:left="300" w:right="55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Ratings Decline Period</w:t>
      </w:r>
      <w:r>
        <w:rPr>
          <w:rFonts w:ascii="Arial" w:cs="Arial" w:eastAsia="Arial" w:hAnsi="Arial"/>
          <w:sz w:val="17"/>
          <w:szCs w:val="17"/>
          <w:color w:val="auto"/>
        </w:rPr>
        <w:t xml:space="preserve">” means the period that (i) begins on the earlier of (a) the date of the first public announcement of the occurrence of a Change of Control or of the intention by the Issuer or a stockholder of the Issuer as applicable, to effect a Change of Control or (b) the occurrence thereof and (ii) ends 90 days following consummation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period shall be extended for so long as the rating of the notes of the applicable series, as noted by the applicable Rating Agency, is under publicly announced consideration for downgrade by the applicable Rating Agency.</w:t>
      </w:r>
    </w:p>
    <w:p>
      <w:pPr>
        <w:spacing w:after="0" w:line="70"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Financing</w:t>
      </w:r>
      <w:r>
        <w:rPr>
          <w:rFonts w:ascii="Arial" w:cs="Arial" w:eastAsia="Arial" w:hAnsi="Arial"/>
          <w:sz w:val="16"/>
          <w:szCs w:val="16"/>
          <w:color w:val="auto"/>
        </w:rPr>
        <w:t>” means any transaction or series of transactions that may be entered into by Parent, the Issuer or any Subsidiary pursuant to which Parent, the Issuer or any Subsidiary of the Issuer may sell, convey or otherwise transfer to (a) a Permitted Receivables Financing Subsidiary (in the case of a transfer by Parent, the Issuer or any Subsidiary of the Issuer) or (b) any other Person (in the case of a transfer by a Permitted Receivables Financing Subsidiary), or a Permitted Receivables Financing Subsidiary may grant a security interest in, any Permitted Receivables Financing Assets of Parent, the Issuer or any Subsidiary of the Issuer.</w:t>
      </w:r>
    </w:p>
    <w:p>
      <w:pPr>
        <w:spacing w:after="0" w:line="5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w:t>
      </w:r>
      <w:r>
        <w:rPr>
          <w:rFonts w:ascii="Arial" w:cs="Arial" w:eastAsia="Arial" w:hAnsi="Arial"/>
          <w:sz w:val="17"/>
          <w:szCs w:val="17"/>
          <w:color w:val="auto"/>
        </w:rPr>
        <w:t>” or “</w:t>
      </w:r>
      <w:r>
        <w:rPr>
          <w:rFonts w:ascii="Arial" w:cs="Arial" w:eastAsia="Arial" w:hAnsi="Arial"/>
          <w:sz w:val="17"/>
          <w:szCs w:val="17"/>
          <w:i w:val="1"/>
          <w:iCs w:val="1"/>
          <w:color w:val="auto"/>
        </w:rPr>
        <w:t>Refinance</w:t>
      </w:r>
      <w:r>
        <w:rPr>
          <w:rFonts w:ascii="Arial" w:cs="Arial" w:eastAsia="Arial" w:hAnsi="Arial"/>
          <w:sz w:val="17"/>
          <w:szCs w:val="17"/>
          <w:color w:val="auto"/>
        </w:rPr>
        <w:t>” shall mean, with respect to any Indebtedness or Specified Indebtedness, as applicable, any other Indebtedness or Specified Indebtedness, as applicable, issued (a) in exchange for, or the net proceeds of which are used to, extend the maturity renew, refund, refinance, replace, defease, discharge or otherwise retire for value, in whole or in part, or (b) constituting an amendment, modification or supplement to or a deferral or renewal of such Indebtedness or Specified Indebtedness, as applicable.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Reinsurance Entity</w:t>
      </w:r>
      <w:r>
        <w:rPr>
          <w:rFonts w:ascii="Arial" w:cs="Arial" w:eastAsia="Arial" w:hAnsi="Arial"/>
          <w:sz w:val="16"/>
          <w:szCs w:val="16"/>
          <w:color w:val="auto"/>
        </w:rPr>
        <w:t>” means TMUS Assurance Corporation, a Hawaii corporation and any successor thereto.</w:t>
      </w:r>
    </w:p>
    <w:p>
      <w:pPr>
        <w:spacing w:after="0" w:line="140"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Assets</w:t>
      </w:r>
      <w:r>
        <w:rPr>
          <w:rFonts w:ascii="Arial" w:cs="Arial" w:eastAsia="Arial" w:hAnsi="Arial"/>
          <w:sz w:val="18"/>
          <w:szCs w:val="18"/>
          <w:color w:val="auto"/>
        </w:rPr>
        <w:t>” means: (i) capital expenditures with respect to any assets, (ii) other assets that will be used or useful in a Permitted Business, (iii) all or substantially all of the assets of a Permitted Business, (iv) Voting Stock of any Person engaged in a Permitted Business that, when taken together with all other Voting Stock of such Person owned by the Issuer and its Restricted Subsidiaries, constitutes a majority of the Voting Stock of such Person and such Person will become a Restricted Subsidiary on the date of the acquisition thereof or (v) deposits or payments to acquire FCC Licenses.</w:t>
      </w:r>
    </w:p>
    <w:p>
      <w:pPr>
        <w:spacing w:after="0" w:line="84"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(i) when used with respect to the Trustee, any officer within the Corporate Trust Office of the Trustee (or any successor group thereto) or any other officer of the Trustee who customarily performs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has responsibility for the administration of the Indenture and</w:t>
      </w:r>
    </w:p>
    <w:p>
      <w:pPr>
        <w:spacing w:after="0" w:line="2" w:lineRule="exact"/>
        <w:rPr>
          <w:sz w:val="20"/>
          <w:szCs w:val="20"/>
          <w:color w:val="auto"/>
        </w:rPr>
      </w:pPr>
    </w:p>
    <w:p>
      <w:pPr>
        <w:ind w:left="300" w:right="599" w:hanging="8"/>
        <w:spacing w:after="0" w:line="295" w:lineRule="auto"/>
        <w:tabs>
          <w:tab w:leader="none" w:pos="5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to any other Person, the chief executive officer, president, chief financial officer, chief accounting officer, treasurer or director of such Person, but in any event, with respect to financial matters, the chief financial officer, chief accounting officer, treasurer or director of such Person. Unless otherwise qualified or the context otherwise requires, all references to a “Responsible Officer” mean a Responsible Officer of the Issuer.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17"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referenced Person that is not an Unrestricted Subsidiary.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Financial Services LLC, a subsidiary of S&amp;P Global Inc., and its successors.</w:t>
      </w:r>
    </w:p>
    <w:p>
      <w:pPr>
        <w:spacing w:after="0" w:line="140"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September 2010 Senior Notes Indenture</w:t>
      </w:r>
      <w:r>
        <w:rPr>
          <w:rFonts w:ascii="Arial" w:cs="Arial" w:eastAsia="Arial" w:hAnsi="Arial"/>
          <w:sz w:val="16"/>
          <w:szCs w:val="16"/>
          <w:color w:val="auto"/>
        </w:rPr>
        <w:t>” means the Indenture, dated as of September 21, 2010, as supplemented by the Second Supplemental Indenture, dated November 17, 2010, among MetroPCS Wireless, Inc., the guarantors party thereto and Wells Fargo Bank, N.A., as trustee, as supplemented by the Fourth Supplemental Indenture, dated as of December 23, 2010, by MetroPCS Wireless, Inc., the guarantors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thereto and Wells Fargo Bank, N.A., as trustee, as further supplemented by the December 2012 Senior Notes Sixth Supplemental Indenture, as further supplemented by the Seventh Supplemental Indenture, dated as of May 1, 2013, among T-Mobile USA, Inc., the guarantors party thereto and Wells Fargo Bank, N.A., as trustee, as further supplemented by the Eighth Supplemental Indenture, dated as of July 15, 2013, among T-Mobile USA, Inc., the guarantors party thereto and Wells Fargo Bank, N.A., as trustee, as further supplemented by that certain Ninth Supplemental Indenture, dated as of August 11, 2014, among T-Mobile USA, Inc., the guarantors named therein and Wells Fargo Bank, N.A., as trustee, as further supplemented by that certain Tenth Supplemental Indenture, dated as of September 28, 2015, among T-Mobile USA, Inc., the guarantors named therein and Wells Fargo Bank, N.A., as trustee, and as further supplemented by that certain Eleventh Supplemental Indenture, dated as of August 30, 2016, among T-Mobile USA, Inc., the guarantors named therein and Wells Fargo Bank, N.A., as trustee.</w:t>
      </w:r>
    </w:p>
    <w:p>
      <w:pPr>
        <w:spacing w:after="0" w:line="60" w:lineRule="exact"/>
        <w:rPr>
          <w:sz w:val="20"/>
          <w:szCs w:val="20"/>
          <w:color w:val="auto"/>
        </w:rPr>
      </w:pPr>
    </w:p>
    <w:p>
      <w:pPr>
        <w:ind w:left="300" w:right="9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Issue Date</w:t>
      </w:r>
      <w:r>
        <w:rPr>
          <w:rFonts w:ascii="Arial" w:cs="Arial" w:eastAsia="Arial" w:hAnsi="Arial"/>
          <w:sz w:val="16"/>
          <w:szCs w:val="16"/>
          <w:color w:val="auto"/>
        </w:rPr>
        <w:t>” means, with respect to a series of Notes, the effective date of the Board Resolution, officers’ certificate or supplemental indenture pursuant to which the Notes of such series are first issued.</w:t>
      </w:r>
    </w:p>
    <w:p>
      <w:pPr>
        <w:spacing w:after="0" w:line="16" w:lineRule="exact"/>
        <w:rPr>
          <w:sz w:val="20"/>
          <w:szCs w:val="20"/>
          <w:color w:val="auto"/>
        </w:rPr>
      </w:pPr>
    </w:p>
    <w:p>
      <w:pPr>
        <w:ind w:left="300" w:right="65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Issue Date Existing Indebtedness</w:t>
      </w:r>
      <w:r>
        <w:rPr>
          <w:rFonts w:ascii="Arial" w:cs="Arial" w:eastAsia="Arial" w:hAnsi="Arial"/>
          <w:sz w:val="16"/>
          <w:szCs w:val="16"/>
          <w:color w:val="auto"/>
        </w:rPr>
        <w:t>” means, with respect to a series of Notes, the Notes of any series issued under the Base Indenture and in existence on the applicable Series Issue Date for such series of Notes (including the DT Notes) (and any “Exchange Notes” (as defined in the Base Indenture) relating thereto) and, in each case, the related Note Guarantees (other than the Notes of such series issued on the Series Issue Date), including, for the avoidance of doubt, the Existing T-Mobile Unsecured Notes.</w:t>
      </w:r>
    </w:p>
    <w:p>
      <w:pPr>
        <w:spacing w:after="0" w:line="53"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with respect to any specified Person, any Subsidiary of such Person that as of the end of the most recent fiscal quarter for which financial statements are available, would be a “significant subsidiary” as defined in Article 1, Rule 1-02 of Regulation S-X, promulgated pursuant to the Securities Act, as such Regulation is in effect on April 9, 2020, of such Person.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Equivalents</w:t>
      </w:r>
      <w:r>
        <w:rPr>
          <w:rFonts w:ascii="Arial" w:cs="Arial" w:eastAsia="Arial" w:hAnsi="Arial"/>
          <w:sz w:val="18"/>
          <w:szCs w:val="18"/>
          <w:color w:val="auto"/>
        </w:rPr>
        <w:t>” means:</w:t>
      </w:r>
    </w:p>
    <w:p>
      <w:pPr>
        <w:spacing w:after="0" w:line="117" w:lineRule="exact"/>
        <w:rPr>
          <w:sz w:val="20"/>
          <w:szCs w:val="20"/>
          <w:color w:val="auto"/>
        </w:rPr>
      </w:pPr>
    </w:p>
    <w:p>
      <w:pPr>
        <w:ind w:left="1000" w:right="339" w:hanging="348"/>
        <w:spacing w:after="0" w:line="263"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United States dollars, pounds sterling, euros, Canadian dollars, Swiss francs, the national currency of any member state of the European Union or any other foreign currencies held by the Issuer and its Subsidiaries from time to time in the ordinary course of business;</w:t>
      </w:r>
    </w:p>
    <w:p>
      <w:pPr>
        <w:spacing w:after="0" w:line="75"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United States of America, Canada, the United Kingdom, Switzerland or any country that is a member of the European Union or any agency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Canada, the United Kingdom, Switzerland or the relevant member state of the European Union, as the case may be, is pledged in support of those securities) having maturities of not more than two years from the date of acquisition;</w:t>
      </w:r>
    </w:p>
    <w:p>
      <w:pPr>
        <w:spacing w:after="0" w:line="84"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demand deposits, certificates of deposit and eurodollar time deposits with maturities of one year or less from the date of acquisition, bankers’ acceptances with maturities not exceeding one year and overnight bank deposits, in each case, with any domestic commercial bank having capital and surplus in excess of $250.0 million, in the case of U.S. banks, and $100.0 million (or the foreign currency equivalent thereof), in the case of non-U.S. banks;</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commercial paper having one of the two highest ratings obtainable from a Rating Agency at the date of acquisition and, in each case, maturing within one year after the date of acquisition;</w:t>
      </w:r>
    </w:p>
    <w:p>
      <w:pPr>
        <w:spacing w:after="0" w:line="38" w:lineRule="exact"/>
        <w:rPr>
          <w:rFonts w:ascii="Arial" w:cs="Arial" w:eastAsia="Arial" w:hAnsi="Arial"/>
          <w:sz w:val="17"/>
          <w:szCs w:val="17"/>
          <w:color w:val="auto"/>
        </w:rPr>
      </w:pPr>
    </w:p>
    <w:p>
      <w:pPr>
        <w:ind w:left="1000" w:right="319" w:hanging="348"/>
        <w:spacing w:after="0" w:line="25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Canada, any country that is a member of the European Union, the United Kingdom or Switzerland or by any political subdivision or agency or instrumentality of the foregoing, rated at least “A” (or the equivalent thereof) by a Rating Agency at the date of acquisition and having maturities of not more than two years after the date of acquisition;</w:t>
      </w:r>
    </w:p>
    <w:p>
      <w:pPr>
        <w:spacing w:after="0" w:line="79"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auction rate securities rated at least “AA-” or “Aa3” (or the equivalent thereof) by a Rating Agency at the time of purchase and with reset dates of one year or less from the time of purchase;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19" w:hanging="348"/>
        <w:spacing w:after="0" w:line="279" w:lineRule="auto"/>
        <w:tabs>
          <w:tab w:leader="none" w:pos="10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Issuer or any of its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63"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62" w:lineRule="exact"/>
        <w:rPr>
          <w:rFonts w:ascii="Arial" w:cs="Arial" w:eastAsia="Arial" w:hAnsi="Arial"/>
          <w:sz w:val="18"/>
          <w:szCs w:val="18"/>
          <w:color w:val="auto"/>
        </w:rPr>
      </w:pPr>
    </w:p>
    <w:p>
      <w:pPr>
        <w:ind w:left="1000" w:right="839" w:hanging="348"/>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Cash Flow</w:t>
      </w:r>
      <w:r>
        <w:rPr>
          <w:rFonts w:ascii="Arial" w:cs="Arial" w:eastAsia="Arial" w:hAnsi="Arial"/>
          <w:sz w:val="18"/>
          <w:szCs w:val="18"/>
          <w:color w:val="auto"/>
        </w:rPr>
        <w:t>” means, with respect to any specified Person for any period, the Specified Consolidated Net Income of such Person for such period plus, without duplication:</w:t>
      </w:r>
    </w:p>
    <w:p>
      <w:pPr>
        <w:spacing w:after="0" w:line="62" w:lineRule="exact"/>
        <w:rPr>
          <w:sz w:val="20"/>
          <w:szCs w:val="20"/>
          <w:color w:val="auto"/>
        </w:rPr>
      </w:pPr>
    </w:p>
    <w:p>
      <w:pPr>
        <w:ind w:left="1000" w:right="439" w:hanging="348"/>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 to the extent that such provision for taxes was deducted in computing such Specified Consolidated Net Income; plus</w:t>
      </w:r>
    </w:p>
    <w:p>
      <w:pPr>
        <w:spacing w:after="0" w:line="75"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Specified Consolidated Interest Expense of such Person and its Subsidiaries for such period, to the extent that such Specified Consolidated Interest Expense was deducted in computing such Specified Consolidated Net Income; plus</w:t>
      </w:r>
    </w:p>
    <w:p>
      <w:pPr>
        <w:spacing w:after="0" w:line="75" w:lineRule="exact"/>
        <w:rPr>
          <w:rFonts w:ascii="Arial" w:cs="Arial" w:eastAsia="Arial" w:hAnsi="Arial"/>
          <w:sz w:val="18"/>
          <w:szCs w:val="18"/>
          <w:color w:val="auto"/>
        </w:rPr>
      </w:pPr>
    </w:p>
    <w:p>
      <w:pPr>
        <w:ind w:left="1000" w:right="319" w:hanging="348"/>
        <w:spacing w:after="0" w:line="293"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depreciation, amortization (including non-cash impairment charges and any write-off or write-down or amortization of intangibles)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Subsidiaries for such period to the extent that such depreciation, amortization and other non-cash expenses or charges were deducted in computing such Specified Consolidated Net Income; plus</w:t>
      </w:r>
    </w:p>
    <w:p>
      <w:pPr>
        <w:spacing w:after="0" w:line="56" w:lineRule="exact"/>
        <w:rPr>
          <w:rFonts w:ascii="Arial" w:cs="Arial" w:eastAsia="Arial" w:hAnsi="Arial"/>
          <w:sz w:val="16"/>
          <w:szCs w:val="16"/>
          <w:color w:val="auto"/>
        </w:rPr>
      </w:pPr>
    </w:p>
    <w:p>
      <w:pPr>
        <w:ind w:left="1000" w:right="339" w:hanging="348"/>
        <w:spacing w:after="0" w:line="284"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any Permitted Tower Financing or any Permitted Spectrum Financing, (b) any fees, expenses (including legal and professional expenses) or charges (not covered under sub-clause (d) below) related to any sale or offering of Equity Interests of such Person or Parent or any investment, acquisition, disposition, dividend, distribution, return of capital, recapitalization or the incurrence of any Specified Indebtedness, including refinancing thereof or the offering, amendment or modification of any debt instrument, including the offering, any amendment or other modification of the Existing Sprint Unsecured Notes, the Existing T-Mobile Unsecured Notes and the notes issued from time to time under the Base Indenture (in each case, whether or not successful and whether or not incurred prior to the Series Issue Date), (c) any premium, penalty or fee paid in relation to any repayment, prepayment or repurchase of Specified Indebtedness, (d) any fees or expenses relating to the Sprint Transactions and the transactions contemplated in the Credit Agreement or the Bridge Credit Agreement, including any fees, expenses or charges related to any incurrence, issuance or offering of incremental facilities, replacement facilities, extension facilities or incremental equivalent debt, or any amendment or modification of the Credit Agreement, the Bridge Credit Agreement, any other loan document executed and delivered in connection with the Credit Agreement or the Bridge Credit Agreement or any documentation governing incremental equivalent debt (in each case, whether or not successful) and (e) restructuring charges, integration costs (including retention, relocation and contract termination costs) and related costs and charges, and costs in connection with strategic initiatives, transition costs and information systems-related costs (including non-recurring employee bonuses in connection therewith and non-recurring product and intellectual property development costs); plus</w:t>
      </w:r>
    </w:p>
    <w:p>
      <w:pPr>
        <w:spacing w:after="0" w:line="71"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losses or discounts on sales of Permitted Receivables Financing Assets in connection with any Permitted Receivables Financing; plus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jc w:val="both"/>
        <w:ind w:left="1000" w:right="679" w:hanging="348"/>
        <w:spacing w:after="0" w:line="342"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“run rate” expected cost savings, operating expense reductions, other operating improvements and initiatives, restructuring charges and expenses and synergies that are reasonably identifiable, factually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284" w:lineRule="auto"/>
        <w:rPr>
          <w:sz w:val="20"/>
          <w:szCs w:val="20"/>
          <w:color w:val="auto"/>
        </w:rPr>
      </w:pPr>
      <w:r>
        <w:rPr>
          <w:rFonts w:ascii="Arial" w:cs="Arial" w:eastAsia="Arial" w:hAnsi="Arial"/>
          <w:sz w:val="16"/>
          <w:szCs w:val="16"/>
          <w:color w:val="auto"/>
        </w:rPr>
        <w:t xml:space="preserve">supportable and expected in good faith to be realized as a result of actions with respect to which substantial steps have been taken, will be, or are expected in good faith to be, taken within 24 months after the date of any acquisition, disposition, divestiture, restructuring, other operational changes or the implementation of a cost savings or other similar initiative, as applicable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actions or substantial steps have been, will be or are expected to be taken within 24 months after (x) if such cost savings, expense reductions, charge, expense, acquisition, divestiture, restructuring or initiative is initiated on or prior to the date of the consummation of the Sprint Merger, the date of the consummation of the Sprint Merger or (y) if such cost savings, expense reductions, charge, expense, acquisition, divestiture, restructuring, other operational changes or initiative is initiated after the date of the consummation of the Sprint Merger, the date on which such cost savings, expense reductions, charge, expense, acquisition, divestiture, restructuring other operational changes or initiative is initiated and (B) no cost savings, operating expense reductions, restructuring charges and expense or synergies shall be added pursuant to this defined term to the extent duplicative of any expenses or charges otherwise added to Specified Consolidated Cash Flow, whether through a pro forma adjustment or otherwise, for such period (which adjustments may be incremental to pro forma adjustments made pursuant to the definition of “Debt to Cash Flow Ratio”); plus</w:t>
      </w:r>
    </w:p>
    <w:p>
      <w:pPr>
        <w:spacing w:after="0" w:line="290" w:lineRule="exact"/>
        <w:rPr>
          <w:sz w:val="20"/>
          <w:szCs w:val="20"/>
          <w:color w:val="auto"/>
        </w:rPr>
      </w:pPr>
    </w:p>
    <w:p>
      <w:pPr>
        <w:ind w:left="1000" w:right="419" w:hanging="348"/>
        <w:spacing w:after="0" w:line="287" w:lineRule="auto"/>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addition to (but not in duplication of) clause (7) above, the “run rate” expected cost savings, operating expense reductions, other operating improvements and initiatives, restructuring charges and expenses and synergies related to the Sprint Transactions that are reasonably identifiable, factually supportable and expected in good faith to be realized as a result of actions with respect to which substantial steps have been taken, will be, or are expected in good faith to be, taken within 36 months after the date of the consummation of the Sprint Merger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(which actions may be incremental to pro forma adjustments made pursuant to the definition of “Debt to Cash Flow Ratio”); minus</w:t>
      </w:r>
    </w:p>
    <w:p>
      <w:pPr>
        <w:spacing w:after="0" w:line="59" w:lineRule="exact"/>
        <w:rPr>
          <w:rFonts w:ascii="Arial" w:cs="Arial" w:eastAsia="Arial" w:hAnsi="Arial"/>
          <w:sz w:val="16"/>
          <w:szCs w:val="16"/>
          <w:color w:val="auto"/>
        </w:rPr>
      </w:pPr>
    </w:p>
    <w:p>
      <w:pPr>
        <w:ind w:left="1000" w:right="379" w:hanging="348"/>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non-cash items increasing such Specified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Subsidiary of the Issuer that is not a Subsidiary Guarantor will be added to Specified Consolidated Net Income to compute Specified Consolidated Cash Flow of the Issuer only to the extent that a corresponding amount would be permitted at the date of determination to be dividended to the Issuer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5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For the avoidance of doubt, calculations of “Specified Consolidated Cash Flow” of the Issuer for any period prior to the date of the consummation of the Sprint Merger for purposes of calculating the Debt to Cash Flow Ratio shall be on a Pro Forma Basis.</w:t>
      </w:r>
    </w:p>
    <w:p>
      <w:pPr>
        <w:spacing w:after="0" w:line="76"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Consolidated Indebtedness</w:t>
      </w:r>
      <w:r>
        <w:rPr>
          <w:rFonts w:ascii="Arial" w:cs="Arial" w:eastAsia="Arial" w:hAnsi="Arial"/>
          <w:sz w:val="16"/>
          <w:szCs w:val="16"/>
          <w:color w:val="auto"/>
        </w:rPr>
        <w:t>” means, with respect to any Person as of any date of determination, the sum, without duplication, of (i) the total amount of Specified Indebtedness of such Person and its Subsidiaries described in clauses (a)(1) and (2) (excluding, for the avoidance of doubt, surety bonds, performance bonds and similar instruments) of the definition of Specified Indebtedness, determined on a consolidated basis, to the extent required to be recorded on a balance sheet in accordance with GAAP, including, without duplication,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outstanding principal amount of the Notes; provided that Specified Consolidated Indebtedness shall not include</w:t>
      </w:r>
    </w:p>
    <w:p>
      <w:pPr>
        <w:spacing w:after="0" w:line="46" w:lineRule="exact"/>
        <w:rPr>
          <w:sz w:val="20"/>
          <w:szCs w:val="20"/>
          <w:color w:val="auto"/>
        </w:rPr>
      </w:pPr>
    </w:p>
    <w:p>
      <w:pPr>
        <w:ind w:left="300" w:right="579" w:hanging="8"/>
        <w:spacing w:after="0" w:line="271" w:lineRule="auto"/>
        <w:tabs>
          <w:tab w:leader="none" w:pos="59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Specified Indebtedness incurred in connection with any Permitted Tower Financing or other special purpose entity financing (other than Specified Indebtedness incurred by a Permitted Spectrum Financing Subsidiary, including the Existing Sprint Spectrum-Backed Notes), (x) obligations in respect of letters of credit, except to the extent of any unreimbursed amounts thereunder or (y) Specified Indebtedness constituting Financing Lease Obligations, purchase money debt or other similar Specified Indebtedness.</w:t>
      </w:r>
    </w:p>
    <w:p>
      <w:pPr>
        <w:spacing w:after="0" w:line="70" w:lineRule="exact"/>
        <w:rPr>
          <w:sz w:val="20"/>
          <w:szCs w:val="20"/>
          <w:color w:val="auto"/>
        </w:rPr>
      </w:pPr>
    </w:p>
    <w:p>
      <w:pPr>
        <w:ind w:left="300" w:right="8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ind w:left="1000" w:right="319" w:hanging="348"/>
        <w:spacing w:after="0" w:line="255"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000" w:right="319" w:hanging="348"/>
        <w:spacing w:after="0" w:line="286"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any interest expense on that portion of Specified Indebtedness of another Person that is guaranteed by such Person or one of its Subsidiaries or secured by a Lien on assets of such Person or one of its Subsidiaries (whether or not such Specified Guarantee or Lien is called upon);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1000" w:right="459" w:hanging="348"/>
        <w:spacing w:after="0" w:line="259"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Subsidiaries, times (b) a fraction, the numerator of which is one and the denominator of which is one minus the then current combined U.S. federal, state and local statutory tax rate of such Person, expressed as a decimal;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each case, on a consolidated basis and in accordance with GAAP; excluding, however, (i) [reserved],</w:t>
      </w:r>
    </w:p>
    <w:p>
      <w:pPr>
        <w:spacing w:after="0" w:line="35" w:lineRule="exact"/>
        <w:rPr>
          <w:sz w:val="20"/>
          <w:szCs w:val="20"/>
          <w:color w:val="auto"/>
        </w:rPr>
      </w:pPr>
    </w:p>
    <w:p>
      <w:pPr>
        <w:ind w:left="300" w:right="359" w:hanging="8"/>
        <w:spacing w:after="0" w:line="285" w:lineRule="auto"/>
        <w:tabs>
          <w:tab w:leader="none" w:pos="56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annual agency fees paid to the administrative agents and collateral agents or similar agents under the Credit Agreement, the Bridge Credit Agreement or other credit facilities, (iii) any additional interest with respect to failure to comply with any registration rights agreement owing with respect to any securities, (iv) costs associated with obtaining Swap Obligations, (v) any expense resulting from the discounting of any Specified Indebtedness in connection with the application of recapitalization accounting or, if applicable, purchase accounting in connection with the Sprint Transactions or any acquisition, (vi) penalties and interest relating to taxes, (vii) any “additional interest” or “liquidated damages” with respect to other securities for failure to timely comply with registration rights obligations, (viii) amortization or expensing of deferred financing fees, amendment and consent fees, debt issuance costs, commissions, fees, expenses and discounted liabilities and any other amounts of non-cash interest, (ix) any expensing of bridge, commitment and other financing fees and any other fees related to the Sprint Transactions or any acquisitions after April 9, 2020, (x) any accretion of accrued interest on discounted liabilities and any prepayment premium or penalty, (xi) interest expense attributable to a parent entity resulting from push-down accounting, and (xii) any lease, rental or other expense in connection with a non-financing lease.</w:t>
      </w:r>
    </w:p>
    <w:p>
      <w:pPr>
        <w:spacing w:after="0" w:line="61" w:lineRule="exact"/>
        <w:rPr>
          <w:sz w:val="20"/>
          <w:szCs w:val="20"/>
          <w:color w:val="auto"/>
        </w:rPr>
      </w:pPr>
    </w:p>
    <w:p>
      <w:pPr>
        <w:jc w:val="both"/>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Consolidated Net Income</w:t>
      </w:r>
      <w:r>
        <w:rPr>
          <w:rFonts w:ascii="Arial" w:cs="Arial" w:eastAsia="Arial" w:hAnsi="Arial"/>
          <w:sz w:val="18"/>
          <w:szCs w:val="18"/>
          <w:color w:val="auto"/>
        </w:rPr>
        <w:t xml:space="preserve">” means, with respect to any specified Person for any period, the aggregate of the Specified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000" w:right="639" w:hanging="348"/>
        <w:spacing w:after="0" w:line="286" w:lineRule="auto"/>
        <w:tabs>
          <w:tab w:leader="none" w:pos="10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positive Specified Net Income of any Person that is not a Subsidiary or that is accounted for by the equity method of accounting will be included only to the extent of the amount of dividends or similar distributions paid in cash to the specified Person or a Subsidiary of the Person;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in each case, will be excluded;</w:t>
      </w:r>
    </w:p>
    <w:p>
      <w:pPr>
        <w:spacing w:after="0" w:line="62" w:lineRule="exact"/>
        <w:rPr>
          <w:rFonts w:ascii="Arial" w:cs="Arial" w:eastAsia="Arial" w:hAnsi="Arial"/>
          <w:sz w:val="18"/>
          <w:szCs w:val="18"/>
          <w:color w:val="auto"/>
        </w:rPr>
      </w:pPr>
    </w:p>
    <w:p>
      <w:pPr>
        <w:ind w:left="1000" w:right="739" w:hanging="348"/>
        <w:spacing w:after="0" w:line="263"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19" w:hanging="348"/>
        <w:spacing w:after="0" w:line="308"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38" w:lineRule="exact"/>
        <w:rPr>
          <w:rFonts w:ascii="Arial" w:cs="Arial" w:eastAsia="Arial" w:hAnsi="Arial"/>
          <w:sz w:val="17"/>
          <w:szCs w:val="17"/>
          <w:color w:val="auto"/>
        </w:rPr>
      </w:pPr>
    </w:p>
    <w:p>
      <w:pPr>
        <w:ind w:left="1000" w:right="319" w:hanging="348"/>
        <w:spacing w:after="0" w:line="271"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(including the Sprint Business Combination) prior to or after the date of the consummation of the Sprint Merger (including integration costs), including all fees, commissions, expenses and other similar charges of accountants, attorneys, brokers and other financial advisors related thereto and cash severance payments made in connection with acquisitions, and any expense or charge related to the repurchase of Capital Stock or warrants or options to purchase Capital Stock, shall be excluded;</w:t>
      </w:r>
    </w:p>
    <w:p>
      <w:pPr>
        <w:spacing w:after="0" w:line="70" w:lineRule="exact"/>
        <w:rPr>
          <w:rFonts w:ascii="Arial" w:cs="Arial" w:eastAsia="Arial" w:hAnsi="Arial"/>
          <w:sz w:val="17"/>
          <w:szCs w:val="17"/>
          <w:color w:val="auto"/>
        </w:rPr>
      </w:pPr>
    </w:p>
    <w:p>
      <w:pPr>
        <w:ind w:left="1000" w:right="359" w:hanging="348"/>
        <w:spacing w:after="0" w:line="255"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fees and expenses, including prepayment premiums and similar amounts, incurred during such period, or any amortization thereof for such period, in connection with any equity issuance, acquisition, disposition, recapitalization, Specified Investment, asset sale, issuance or repayment of Specified Indebtedness (including any issuance of Notes), financing transaction or amendment or modification of any debt instrument (including, in each case, any such transaction undertaken but not completed), shall be excluded;</w:t>
      </w:r>
    </w:p>
    <w:p>
      <w:pPr>
        <w:spacing w:after="0" w:line="84" w:lineRule="exact"/>
        <w:rPr>
          <w:rFonts w:ascii="Arial" w:cs="Arial" w:eastAsia="Arial" w:hAnsi="Arial"/>
          <w:sz w:val="18"/>
          <w:szCs w:val="18"/>
          <w:color w:val="auto"/>
        </w:rPr>
      </w:pPr>
    </w:p>
    <w:p>
      <w:pPr>
        <w:ind w:left="1000" w:hanging="348"/>
        <w:spacing w:after="0"/>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gains and losses from any early extinguishment of Specified Indebtedness shall be excluded;</w:t>
      </w:r>
    </w:p>
    <w:p>
      <w:pPr>
        <w:spacing w:after="0" w:line="128" w:lineRule="exact"/>
        <w:rPr>
          <w:rFonts w:ascii="Arial" w:cs="Arial" w:eastAsia="Arial" w:hAnsi="Arial"/>
          <w:sz w:val="17"/>
          <w:szCs w:val="17"/>
          <w:color w:val="auto"/>
        </w:rPr>
      </w:pPr>
    </w:p>
    <w:p>
      <w:pPr>
        <w:ind w:left="1000" w:right="1019" w:hanging="348"/>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gains and losses from any redemption or repurchase premiums paid with respect to Specified Indebtedness shall be excluded; and</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write-off or amortization of deferred financing costs (including the amortization of original issue discount) associated with Specified Indebtedness shall be excluded.</w:t>
      </w:r>
    </w:p>
    <w:p>
      <w:pPr>
        <w:spacing w:after="0" w:line="62"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Fair Market Value</w:t>
      </w:r>
      <w:r>
        <w:rPr>
          <w:rFonts w:ascii="Arial" w:cs="Arial" w:eastAsia="Arial" w:hAnsi="Arial"/>
          <w:sz w:val="18"/>
          <w:szCs w:val="18"/>
          <w:color w:val="auto"/>
        </w:rPr>
        <w:t xml:space="preserve">” means the value that would be paid by a buyer to an unaffiliated seller, determined in good faith by the Issuer’s Board of Directors or a senior officer of the Issuer, which determination shall be conclusive;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sale, lease, license or other disposition of assets in connection with the Sprint Business Combination (including any required regulatory divestitures) shall be deemed to be for Specified Fair Market Value regardless of whether such sale, lease, license or other disposition meets the requirement of this definition.</w:t>
      </w:r>
    </w:p>
    <w:p>
      <w:pPr>
        <w:spacing w:after="0" w:line="84"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Guarantee</w:t>
      </w:r>
      <w:r>
        <w:rPr>
          <w:rFonts w:ascii="Arial" w:cs="Arial" w:eastAsia="Arial" w:hAnsi="Arial"/>
          <w:sz w:val="16"/>
          <w:szCs w:val="16"/>
          <w:color w:val="auto"/>
        </w:rPr>
        <w:t xml:space="preserve">”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Specified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of instruments for deposit or collection in the ordinary course of business or customary indemnity obligations in effect on the date of the consummation of the Sprint Merger or entered into in connection with any acquisition or disposition permitted under the Indenture (other than such obligations with respect to Specified Indebtedness).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Issuer in good faith.</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Indebtedness</w:t>
      </w:r>
      <w:r>
        <w:rPr>
          <w:rFonts w:ascii="Arial" w:cs="Arial" w:eastAsia="Arial" w:hAnsi="Arial"/>
          <w:sz w:val="18"/>
          <w:szCs w:val="18"/>
          <w:color w:val="auto"/>
        </w:rPr>
        <w:t>” means, with respect to any specified Person, without duplication,</w:t>
      </w:r>
    </w:p>
    <w:p>
      <w:pPr>
        <w:spacing w:after="0" w:line="117" w:lineRule="exact"/>
        <w:rPr>
          <w:sz w:val="20"/>
          <w:szCs w:val="20"/>
          <w:color w:val="auto"/>
        </w:rPr>
      </w:pPr>
    </w:p>
    <w:p>
      <w:pPr>
        <w:ind w:left="1000" w:right="979" w:hanging="348"/>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indebtedness of such Person (excluding accrued expenses and trade payables), whether or not contingent: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559" w:hanging="348"/>
        <w:spacing w:after="0" w:line="277" w:lineRule="auto"/>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ind w:left="1360" w:right="379" w:hanging="348"/>
        <w:spacing w:after="0" w:line="259" w:lineRule="auto"/>
        <w:tabs>
          <w:tab w:leader="none" w:pos="1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except any such balance that constitutes an accrued expense or a trade payable or escrow for obligations, including indemnity obligations; or</w:t>
      </w:r>
    </w:p>
    <w:p>
      <w:pPr>
        <w:spacing w:after="0" w:line="78" w:lineRule="exact"/>
        <w:rPr>
          <w:rFonts w:ascii="Arial" w:cs="Arial" w:eastAsia="Arial" w:hAnsi="Arial"/>
          <w:sz w:val="18"/>
          <w:szCs w:val="18"/>
          <w:color w:val="auto"/>
        </w:rPr>
      </w:pPr>
    </w:p>
    <w:p>
      <w:pPr>
        <w:ind w:left="1360" w:hanging="348"/>
        <w:spacing w:after="0"/>
        <w:tabs>
          <w:tab w:leader="none" w:pos="1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sz w:val="20"/>
          <w:szCs w:val="20"/>
          <w:color w:val="auto"/>
        </w:rPr>
      </w:pPr>
    </w:p>
    <w:p>
      <w:pPr>
        <w:ind w:left="1000" w:right="939" w:hanging="348"/>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Specified Towers Transactions,</w:t>
      </w:r>
    </w:p>
    <w:p>
      <w:pPr>
        <w:spacing w:after="0" w:line="62"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“Specified Indebtedness” includes all Specified Indebtedness of others secured by a Lien on any asset of the specified Person (whether or not such Specified Indebtedness is assumed by the specified Person) and, to the extent not otherwise included, the Specified Guarantee by the specified Person of any Specified Indebtedness of any other Person. Notwithstanding the foregoing, the following shall not constitute Specified Indebtedness: (1) accrued expenses and trade accounts payable arising in the ordinary course of business; (2) any indebtedness that has been defeased in accordance with GAAP or defeased pursuant to the deposit of cash or Specified Cash Equivalents (in an amount sufficient to satisfy all obligations relating thereto at maturity or redemption, as applicable, including all payments of interest and premium, if any) in a trust, escrow or account created or pledged for the sole benefit of the holders of such indebtedness, and in accordance with the other applicable terms of the instrument governing such indebtedness; (3) any obligation arising from the honoring by a bank or other financial institution of a check, draft or similar instrument drawn against insufficient funds in the ordinary course of business; (4) any obligation arising from any agreement providing for indemnities, Specified Guarantees, escrows, purchase price adjustments, holdbacks, contingency payment obligations based on the performance of the acquired or disposed assets or similar obligations (other than Specified Guarantees of Specified Indebtedness) incurred by any Person in connection with the acquisition or disposition of assets; (5) Standard Securitization Undertakings and obligations incurred by a Permitted Receivables Financing Subsidiary in a Permitted Receivables Financing that is not recourse to Parent, the Issuer or any of the “Restricted Subsidiaries” under the Credit Agreement other than (A) one or more Permitted Receivables Financing Subsidiaries and (B) pursuant to Standard Securitization Undertakings; (6) accruals for payroll and other liabilities accrued in the ordinary course of business; (7) purchase price holdbacks in respect of a portion of the purchase price of an asset to satisfy warranty or other unperformed obligations of the seller; (8) all intercompany liabilities among the Issuer and/or the Subsidiaries having a term not exceeding 364 days (inclusive of any roll-over or extensions of terms) and made in the ordinary course of business and (9) any operating lease that must be recognized on the balance sheet of such Person as a lease liability and right-of-use asset in accordance with the Financial Accounting Standards Board Update No. 2016-02, dated February 2016 (Leases (Topic 842)), which adopts Accounting Standards Codification 842.</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Specified Indebtedness outstanding as of any date will be:</w:t>
      </w:r>
    </w:p>
    <w:p>
      <w:pPr>
        <w:spacing w:after="0" w:line="117" w:lineRule="exact"/>
        <w:rPr>
          <w:sz w:val="20"/>
          <w:szCs w:val="20"/>
          <w:color w:val="auto"/>
        </w:rPr>
      </w:pPr>
    </w:p>
    <w:p>
      <w:pPr>
        <w:ind w:left="1000" w:right="639" w:hanging="348"/>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accreted value of the Specified Indebtedness, in the case of any Specified Indebtedness issued with original issue discount;</w:t>
      </w:r>
    </w:p>
    <w:p>
      <w:pPr>
        <w:spacing w:after="0" w:line="62" w:lineRule="exact"/>
        <w:rPr>
          <w:rFonts w:ascii="Arial" w:cs="Arial" w:eastAsia="Arial" w:hAnsi="Arial"/>
          <w:sz w:val="18"/>
          <w:szCs w:val="18"/>
          <w:color w:val="auto"/>
        </w:rPr>
      </w:pPr>
    </w:p>
    <w:p>
      <w:pPr>
        <w:ind w:left="1000" w:right="499" w:hanging="348"/>
        <w:spacing w:after="0" w:line="308" w:lineRule="auto"/>
        <w:tabs>
          <w:tab w:leader="none" w:pos="10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principal amount of the Specified Indebtedness, in the case of any other Specified Indebtedness; and</w:t>
      </w:r>
    </w:p>
    <w:p>
      <w:pPr>
        <w:spacing w:after="0" w:line="140" w:lineRule="exact"/>
        <w:rPr>
          <w:rFonts w:ascii="Arial" w:cs="Arial" w:eastAsia="Arial" w:hAnsi="Arial"/>
          <w:sz w:val="16"/>
          <w:szCs w:val="16"/>
          <w:color w:val="auto"/>
        </w:rPr>
      </w:pPr>
    </w:p>
    <w:p>
      <w:pPr>
        <w:ind w:left="1000" w:right="679" w:hanging="348"/>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respect of Specified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Specified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amount of the Specified Indebtedness of the other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Investments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86"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prior to the occurrence of an Investment Grade Event Election, with respect to any Person, all direct or indirect investments by such Person in other Persons (including Affiliates) in the forms of loans (including Specified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Specified Indebtedness, Equity Interests or other securities. If the Issuer or any Restricted Subsidiary of the Issuer sells or otherwise disposes of any Capital Stock of any direct or indirect Restricted Subsidiary of the Issuer such that, after giving effect to any such sale or disposition, such Person is no longer a Restricted Subsidiary of the Issuer, the Issuer will be deemed to have made a Specified Investment on the date of any such sale or disposition equal to the Specified Fair Market Value of the Issuer’s Specified Investments in such Restricted Subsidiary. Except as otherwise provided in the Indenture, the amount of a Specified Investment will be determined at the time the Specified Investment is made and without giving effect to subsequent changes in value; and</w:t>
      </w:r>
    </w:p>
    <w:p>
      <w:pPr>
        <w:spacing w:after="0" w:line="62" w:lineRule="exact"/>
        <w:rPr>
          <w:rFonts w:ascii="Arial" w:cs="Arial" w:eastAsia="Arial" w:hAnsi="Arial"/>
          <w:sz w:val="16"/>
          <w:szCs w:val="16"/>
          <w:color w:val="auto"/>
        </w:rPr>
      </w:pPr>
    </w:p>
    <w:p>
      <w:pPr>
        <w:ind w:left="1000" w:right="339" w:hanging="348"/>
        <w:spacing w:after="0" w:line="286"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following the occurrence of an Investment Grade Event Election, with respect to any Person, all direct or indirect investments by such Person in other Persons (including Affiliates) in the forms of loans (including Specified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Specified Indebtedness, Equity Interests or other securities. If the Issuer or any of its Wholly-Owned Subsidiaries that are “Restricted Subsidiaries” under the Credit Agreement sells or otherwise disposes of any Capital Stock of any direct or indirect Wholly-Owned Subsidiary that is a “Restricted Subsidiary” under the Credit Agreement such that, after giving effect to any such sale or disposition, such Person is no longer a “Restricted Subsidiary” under the Credit Agreement, the Issuer will be deemed to have made an Investment on the date of any such sale or disposition equal to the Specified Fair Market Value of the Issuer’s Investments in such “Restricted Subsidiary” under the Credit Agreement. Except as otherwise provided in the Indenture, the amount of an Investment will be determined at the time the Investment is made and without giving effect to subsequent changes in value.</w:t>
      </w:r>
    </w:p>
    <w:p>
      <w:pPr>
        <w:spacing w:after="0" w:line="59"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ind w:left="1000" w:right="879" w:hanging="348"/>
        <w:spacing w:after="0" w:line="311" w:lineRule="auto"/>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dispositions of assets (other than in the ordinary course of business); or (b) the extinguishment of any Specified Indebtedness of such Person or any of its Subsidiaries; and</w:t>
      </w:r>
    </w:p>
    <w:p>
      <w:pPr>
        <w:spacing w:after="0" w:line="40" w:lineRule="exact"/>
        <w:rPr>
          <w:rFonts w:ascii="Arial" w:cs="Arial" w:eastAsia="Arial" w:hAnsi="Arial"/>
          <w:sz w:val="16"/>
          <w:szCs w:val="16"/>
          <w:color w:val="auto"/>
        </w:rPr>
      </w:pPr>
    </w:p>
    <w:p>
      <w:pPr>
        <w:ind w:left="1000" w:right="499" w:hanging="348"/>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62"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Specified Indebtedness (including, without limitation, interest, fees or expenses which accrue after the commencement of any bankruptcy case or proceeding, whether or not allowed or allowable as a claim in any such case or proceeding).</w:t>
      </w:r>
    </w:p>
    <w:p>
      <w:pPr>
        <w:spacing w:after="0" w:line="49" w:lineRule="exact"/>
        <w:rPr>
          <w:sz w:val="20"/>
          <w:szCs w:val="20"/>
          <w:color w:val="auto"/>
        </w:rPr>
      </w:pPr>
    </w:p>
    <w:p>
      <w:pPr>
        <w:ind w:left="300" w:right="5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Permitted Business</w:t>
      </w:r>
      <w:r>
        <w:rPr>
          <w:rFonts w:ascii="Arial" w:cs="Arial" w:eastAsia="Arial" w:hAnsi="Arial"/>
          <w:sz w:val="18"/>
          <w:szCs w:val="18"/>
          <w:color w:val="auto"/>
        </w:rPr>
        <w:t>” means any business, service or other activity in which the Issuer and its Subsidiaries or any direct or indirect parent of the Issuer were engaged on the date of the consummation of the Sprint Merger, or any business similar, related, complementary, incidental or ancillary thereto or that constitutes a reasonable extension, development or expansion thereof, or any business reasonably related to the telecommunications industry, and the acquisition, holding or exploitation of any license relating to the delivery of those services.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Permitted Joint Venture Investment</w:t>
      </w:r>
      <w:r>
        <w:rPr>
          <w:rFonts w:ascii="Arial" w:cs="Arial" w:eastAsia="Arial" w:hAnsi="Arial"/>
          <w:sz w:val="16"/>
          <w:szCs w:val="16"/>
          <w:color w:val="auto"/>
        </w:rPr>
        <w:t>” means, with respect to any specified Person, Specified Investments in any other Person engaged in a Specified Permitted Business of which at least 40% of the outstanding Capital Stock of such other Person is at the time owned directly or indirectly by the specified Person.</w:t>
      </w:r>
    </w:p>
    <w:p>
      <w:pPr>
        <w:spacing w:after="0" w:line="41"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Towers Transactions</w:t>
      </w:r>
      <w:r>
        <w:rPr>
          <w:rFonts w:ascii="Arial" w:cs="Arial" w:eastAsia="Arial" w:hAnsi="Arial"/>
          <w:sz w:val="18"/>
          <w:szCs w:val="18"/>
          <w:color w:val="auto"/>
        </w:rPr>
        <w:t>” means the transactions contemplated by the Specified Towers Transactions Agreements.</w:t>
      </w:r>
    </w:p>
    <w:p>
      <w:pPr>
        <w:spacing w:after="0" w:line="62"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Towers Transactions Agreements</w:t>
      </w:r>
      <w:r>
        <w:rPr>
          <w:rFonts w:ascii="Arial" w:cs="Arial" w:eastAsia="Arial" w:hAnsi="Arial"/>
          <w:sz w:val="18"/>
          <w:szCs w:val="18"/>
          <w:color w:val="auto"/>
        </w:rPr>
        <w:t>” means the Crown Towers Transaction Agreements, the Phoenix Towers Transaction Agreements and the Sprint Towers Transaction Agreements.</w:t>
      </w:r>
    </w:p>
    <w:p>
      <w:pPr>
        <w:spacing w:after="0" w:line="62"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Unrestricted Subsidiary Designation</w:t>
      </w:r>
      <w:r>
        <w:rPr>
          <w:rFonts w:ascii="Arial" w:cs="Arial" w:eastAsia="Arial" w:hAnsi="Arial"/>
          <w:sz w:val="16"/>
          <w:szCs w:val="16"/>
          <w:color w:val="auto"/>
        </w:rPr>
        <w:t>” has the meaning assigned to such term in the covenant described above under the caption “—Certain Covenants—Designation of Restricted and Unrestricted Subsidiaries.”</w:t>
      </w:r>
    </w:p>
    <w:p>
      <w:pPr>
        <w:spacing w:after="0" w:line="16"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w:t>
      </w:r>
      <w:r>
        <w:rPr>
          <w:rFonts w:ascii="Arial" w:cs="Arial" w:eastAsia="Arial" w:hAnsi="Arial"/>
          <w:sz w:val="18"/>
          <w:szCs w:val="18"/>
          <w:color w:val="auto"/>
        </w:rPr>
        <w:t>” means frequencies of electromagnetic spectrum used to provide fixed or mobile communications services as licensed or authorized by the FCC.</w:t>
      </w:r>
    </w:p>
    <w:p>
      <w:pPr>
        <w:spacing w:after="0" w:line="62"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SpectrumCo1</w:t>
      </w:r>
      <w:r>
        <w:rPr>
          <w:rFonts w:ascii="Arial" w:cs="Arial" w:eastAsia="Arial" w:hAnsi="Arial"/>
          <w:sz w:val="18"/>
          <w:szCs w:val="18"/>
          <w:color w:val="auto"/>
        </w:rPr>
        <w:t>” means, collectively, the Spectrum special purpose vehicle Subsidiaries of Parent existing on April 9, 2020 that are part of, and were formed for the purpose of, transactions relating to the First Priority Initial Spectrum Obligations (including in respect of any additional sales or transfers of Spectrum, any additional issuances of notes thereby and any amendments thereto).</w:t>
      </w:r>
    </w:p>
    <w:p>
      <w:pPr>
        <w:spacing w:after="0" w:line="79"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Business Combination</w:t>
      </w:r>
      <w:r>
        <w:rPr>
          <w:rFonts w:ascii="Arial" w:cs="Arial" w:eastAsia="Arial" w:hAnsi="Arial"/>
          <w:sz w:val="18"/>
          <w:szCs w:val="18"/>
          <w:color w:val="auto"/>
        </w:rPr>
        <w:t>” means the acquisition by Parent or any of its subsidiaries, whether directly or indirectly, of Sprint Corporation.</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Business Combination Agreement</w:t>
      </w:r>
      <w:r>
        <w:rPr>
          <w:rFonts w:ascii="Arial" w:cs="Arial" w:eastAsia="Arial" w:hAnsi="Arial"/>
          <w:sz w:val="18"/>
          <w:szCs w:val="18"/>
          <w:color w:val="auto"/>
        </w:rPr>
        <w:t>” means the Business Combination Agreement, dated as of April 29, 2018 (such agreement, together with all schedules and exhibits thereto, as amended, restated, amended and restated, supplemented or otherwise modified from time to time), by and among T-Mobile US, Inc., Huron Merger Sub LLC, Superior Merger Sub Corporation, Sprint Corporation, Starburst I, Inc., Galaxy Investment Holdings, Inc., and for the limited purposes set forth therein, Deutsche Telekom AG, Deutsche Telekom Holding B.V., and SoftBank Group Corp.</w:t>
      </w:r>
    </w:p>
    <w:p>
      <w:pPr>
        <w:spacing w:after="0" w:line="84"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Capital Corporation Indenture</w:t>
      </w:r>
      <w:r>
        <w:rPr>
          <w:rFonts w:ascii="Arial" w:cs="Arial" w:eastAsia="Arial" w:hAnsi="Arial"/>
          <w:sz w:val="16"/>
          <w:szCs w:val="16"/>
          <w:color w:val="auto"/>
        </w:rPr>
        <w:t>” means that certain Indenture, dated as of October 1, 1998, by Sprint Capital Corporation, Sprint Corporation and The Bank of New York Mellon Trust Company, N.A. (as successor to Bank One, N.A.), as trustee, as supplemented by the First Supplemental Indenture, dated as of January 15, 1999, among Sprint Capital Corporation, Sprint Corporation and The Bank of New York Mellon Trust Company, N.A. (as successor to Bank One, N.A.), as trustee, the Second Supplemental Indenture, dated as of October 15, 2001, among Sprint Capital Corporation, Sprint Corporation and The Bank of New York Mellon Trust Company, N.A. (as successor to Bank One, N.A.), as trustee, the Third Supplemental Indenture, dated as of September 11, 2013, among Sprint Capital Corporation, Sprint Corporation, Sprint Communications, Inc. (formerly known as Sprint Nextel Corporation) and The Bank of New York Mellon Trust Company, N.A. (as successor to Bank One, N.A.), as trustee, and the Fourth Supplemental Indenture, dated as of May 18, 2018, among Sprint Capital Corporation, Sprint Communications, Inc. (formerly known as Sprint Nextel Corporation), and The Bank of New York Mellon Trust Company, N.A. (as successor to Bank One, N.A.), as trustee.</w:t>
      </w:r>
    </w:p>
    <w:p>
      <w:pPr>
        <w:spacing w:after="0" w:line="60"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Communications, Inc. Indenture</w:t>
      </w:r>
      <w:r>
        <w:rPr>
          <w:rFonts w:ascii="Arial" w:cs="Arial" w:eastAsia="Arial" w:hAnsi="Arial"/>
          <w:sz w:val="16"/>
          <w:szCs w:val="16"/>
          <w:color w:val="auto"/>
        </w:rPr>
        <w:t>” means that certain Senior Notes Indenture, dated as of November 20, 2006, between Sprint Communications, Inc. (formerly known as Sprint Nextel Corporation) and The Bank of New York Trust Company, N.A., as trustee, as supplemented by the Seventh Supplemental Indenture, dated as of November 20, 2012, among Sprint Communications, Inc. (formerly known as Sprint Nextel Corporation), the subsidiary guarantors party thereto and The Bank of New York Trust Company, N.A., as trustee, the Eighth Supplemental Indenture, dated as of September 11, 2013, among Sprint Corporation, Sprint Communications, Inc. (formerly known as Sprint Nextel Corporation) and The Bank of New York Trust Company, N.A., as trustee, and the Thirteenth Supplemental Indenture, dated as of May 14, 2018, among Sprint Communications, Inc. (formerly known as Sprint Nextel Corporation) and The Bank of New York Mellon Trust Company, N.A., as trustee.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Corporation Indenture</w:t>
      </w:r>
      <w:r>
        <w:rPr>
          <w:rFonts w:ascii="Arial" w:cs="Arial" w:eastAsia="Arial" w:hAnsi="Arial"/>
          <w:sz w:val="18"/>
          <w:szCs w:val="18"/>
          <w:color w:val="auto"/>
        </w:rPr>
        <w:t>” means that certain Senior Notes Indenture, dated as of September 11, 2013, between Sprint Corporation and the Bank of New York Mellon Trust Company, N.A., as trustee, as supplemented by the Sixth Supplemental Indenture, dated as of May 14, 2018, between Sprint Corporation and The Bank of New York Mellon Trust Company, N.A, as trustee.</w:t>
      </w:r>
    </w:p>
    <w:p>
      <w:pPr>
        <w:spacing w:after="0" w:line="79"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Merger</w:t>
      </w:r>
      <w:r>
        <w:rPr>
          <w:rFonts w:ascii="Arial" w:cs="Arial" w:eastAsia="Arial" w:hAnsi="Arial"/>
          <w:sz w:val="16"/>
          <w:szCs w:val="16"/>
          <w:color w:val="auto"/>
        </w:rPr>
        <w:t>” means the merger of Sprint Corporation, a Delaware corporation, with a merger subsidiary of Parent with Sprint Corporation as the surviving Person and following its contribution by Parent to the Issuer, as a Wholly-Owned Subsidiary of the Issuer, pursuant to the Sprint Business Combination Agreement.</w:t>
      </w:r>
    </w:p>
    <w:p>
      <w:pPr>
        <w:spacing w:after="0" w:line="4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Towers Transaction Agreements</w:t>
      </w:r>
      <w:r>
        <w:rPr>
          <w:rFonts w:ascii="Arial" w:cs="Arial" w:eastAsia="Arial" w:hAnsi="Arial"/>
          <w:sz w:val="18"/>
          <w:szCs w:val="18"/>
          <w:color w:val="auto"/>
        </w:rPr>
        <w:t>” means (i) the towers transactions agreements entered into prior to April 9, 2020 by Sprint Corporation and its affiliates and (ii) each of the other transaction documents entered into in connection therewith or contemplated thereby, as they may be amended, modified or supplemented from time to time.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Transactions</w:t>
      </w:r>
      <w:r>
        <w:rPr>
          <w:rFonts w:ascii="Arial" w:cs="Arial" w:eastAsia="Arial" w:hAnsi="Arial"/>
          <w:sz w:val="18"/>
          <w:szCs w:val="18"/>
          <w:color w:val="auto"/>
        </w:rPr>
        <w:t>” means, collectively, (i) the consummation of the Sprint Merger, (ii) [reserved],</w:t>
      </w:r>
    </w:p>
    <w:p>
      <w:pPr>
        <w:spacing w:after="0" w:line="23" w:lineRule="exact"/>
        <w:rPr>
          <w:sz w:val="20"/>
          <w:szCs w:val="20"/>
          <w:color w:val="auto"/>
        </w:rPr>
      </w:pPr>
    </w:p>
    <w:p>
      <w:pPr>
        <w:ind w:left="300" w:right="319" w:hanging="8"/>
        <w:spacing w:after="0" w:line="285" w:lineRule="auto"/>
        <w:tabs>
          <w:tab w:leader="none" w:pos="61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[reserved], (iv) the contribution by Parent of Sprint Corporation to the Issuer, or consummation of another transaction by which Sprint Corporation becomes a direct or indirect Wholly-Owned Subsidiary of the Issuer, (v) the execution, delivery and performance by the Issuer and each other loan party of the Credit Agreement and the Bridge Credit Agreement and each other loan document required to be delivered thereunder, the borrowing of loans thereunder and the use of proceeds thereof and the issuance of letters of credit thereunder, (vi) the issuance and sale of the $19.0 billion of Existing T-Mobile Secured Notes on April 9, 2020 in connection with the refinancing of the Bridge Credit Agreement and the use of proceeds thereof, (vii) the repayment, repurchase and retirement, redemption, discharge (including constructive discharge) and/or call for redemption (or causing the applicable borrower or issuer to do so) of Specified Indebtedness in connection with the Sprint Merger as contemplated by the Sprint Business Combination Agreement and (viii) the payment of all fees (including original discount), costs and expenses incurred by Parent, the Issuer or any of their Subsidiaries in connection with the foregoing.</w:t>
      </w:r>
    </w:p>
    <w:p>
      <w:pPr>
        <w:spacing w:after="0" w:line="6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and indemnities (including repurchase obligations in the event of a breach of representation and warranty) made or provided, and limited recourse guarantees, performance guarantees and servicing obligations undertaken, by the Issuer or any of its Subsidiaries in connection with a Permitted Receivables Financing, a Permitted Spectrum Financing or a Permitted Tower Financing of a character appropriate for the assets being securitized and which have been negotiated at arm’s length with an unaffiliated third party. For the avoidance of doubt, the undertakings included in the Existing Sprint Spectrum Financing Documents (and substantially similar undertakings to the foregoing in any similar arrangements) constitute Standard Securitization Undertakings.</w:t>
      </w:r>
    </w:p>
    <w:p>
      <w:pPr>
        <w:spacing w:after="0" w:line="70"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w:t>
      </w:r>
    </w:p>
    <w:p>
      <w:pPr>
        <w:spacing w:after="0" w:line="117" w:lineRule="exact"/>
        <w:rPr>
          <w:sz w:val="20"/>
          <w:szCs w:val="20"/>
          <w:color w:val="auto"/>
        </w:rPr>
      </w:pPr>
    </w:p>
    <w:p>
      <w:pPr>
        <w:ind w:left="1000" w:right="679" w:hanging="348"/>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the Issuer, any Indebtedness of the Issuer which is by its terms subordinated in right of payment to the Notes of the applicable series; and</w:t>
      </w:r>
    </w:p>
    <w:p>
      <w:pPr>
        <w:spacing w:after="0" w:line="62" w:lineRule="exact"/>
        <w:rPr>
          <w:rFonts w:ascii="Arial" w:cs="Arial" w:eastAsia="Arial" w:hAnsi="Arial"/>
          <w:sz w:val="18"/>
          <w:szCs w:val="18"/>
          <w:color w:val="auto"/>
        </w:rPr>
      </w:pPr>
    </w:p>
    <w:p>
      <w:pPr>
        <w:ind w:left="1000" w:right="519" w:hanging="348"/>
        <w:spacing w:after="0" w:line="342"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 respect to any Guarantor, any Indebtedness of such Guarantor which is by its terms subordinated in right of payment to such Guarantor’s Guarantee of the Notes of the applicable series.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1000" w:right="419" w:hanging="348"/>
        <w:spacing w:after="0" w:line="273" w:lineRule="auto"/>
        <w:tabs>
          <w:tab w:leader="none" w:pos="10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19" w:hanging="348"/>
        <w:spacing w:after="0" w:line="263"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only general partners of which are that Person or one or more Subsidiaries of that Person (or any combination thereof).</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collectively, the Guarantors that are Subsidiaries of the Issuer.</w:t>
      </w:r>
    </w:p>
    <w:p>
      <w:pPr>
        <w:spacing w:after="0" w:line="11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of the Issuer, Parent or any Guarantor, any obligation to pay or perform under any agreement, contract or transaction that constitutes a “swap” within the meaning of section 1a(47) of the Commodity Exchange Act.</w:t>
      </w:r>
    </w:p>
    <w:p>
      <w:pPr>
        <w:spacing w:after="0" w:line="76"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Test Period</w:t>
      </w:r>
      <w:r>
        <w:rPr>
          <w:rFonts w:ascii="Arial" w:cs="Arial" w:eastAsia="Arial" w:hAnsi="Arial"/>
          <w:sz w:val="16"/>
          <w:szCs w:val="16"/>
          <w:color w:val="auto"/>
        </w:rPr>
        <w:t>” means on any date of determination, the period of four consecutive fiscal quarters of the Issuer (taken as one accounting period) then most recently ended for which internal financial statements are available immediately preceding the date on which the action for which such calculation is being made shall occur.</w:t>
      </w:r>
    </w:p>
    <w:p>
      <w:pPr>
        <w:spacing w:after="0" w:line="4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TMUS Working Capital Facility</w:t>
      </w:r>
      <w:r>
        <w:rPr>
          <w:rFonts w:ascii="Arial" w:cs="Arial" w:eastAsia="Arial" w:hAnsi="Arial"/>
          <w:sz w:val="18"/>
          <w:szCs w:val="18"/>
          <w:color w:val="auto"/>
        </w:rPr>
        <w:t>” shall have the meaning assigned to such term in the Business Combination Agreement.</w:t>
      </w:r>
    </w:p>
    <w:p>
      <w:pPr>
        <w:spacing w:after="0" w:line="62"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the consolidated total assets of a Person and its Subsidiaries as set forth on the most recent balance sheet of such Person prepared in accordance with GAAP.</w:t>
      </w:r>
    </w:p>
    <w:p>
      <w:pPr>
        <w:spacing w:after="0" w:line="62" w:lineRule="exact"/>
        <w:rPr>
          <w:sz w:val="20"/>
          <w:szCs w:val="20"/>
          <w:color w:val="auto"/>
        </w:rPr>
      </w:pPr>
    </w:p>
    <w:p>
      <w:pPr>
        <w:ind w:left="300" w:right="6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 Obligations</w:t>
      </w:r>
      <w:r>
        <w:rPr>
          <w:rFonts w:ascii="Arial" w:cs="Arial" w:eastAsia="Arial" w:hAnsi="Arial"/>
          <w:sz w:val="17"/>
          <w:szCs w:val="17"/>
          <w:color w:val="auto"/>
        </w:rPr>
        <w:t>” means long-term financial obligations in the amount of the net proceeds received and recognized interest on the obligations pursuant to the Specified Towers Transactions Agreements.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w:t>
      </w:r>
      <w:r>
        <w:rPr>
          <w:rFonts w:ascii="Arial" w:cs="Arial" w:eastAsia="Arial" w:hAnsi="Arial"/>
          <w:sz w:val="18"/>
          <w:szCs w:val="18"/>
          <w:color w:val="auto"/>
        </w:rPr>
        <w:t>” means the transactions contemplated by the Towers Transaction Agreements.</w:t>
      </w:r>
    </w:p>
    <w:p>
      <w:pPr>
        <w:spacing w:after="0" w:line="117"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or the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300" w:right="2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means (i) the Merger, (ii) the offering of the Permitted MetroPCS Notes and the DT Notes and the incurrence of the TMUS Working Capital Facility, (iii) the refinancing of Existing Indebtedness on or prior to the Closing Date, (iv) “the Cash Payment” and the “MetroPCS Reverse Stock Split,” each as defined in the Business Combination Agreement, and (v) all other transactions consummated in connection therewith.</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87"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with respect to the 2026 Notes and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 period from such redemption date to April 15, 2023;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April 15, 2023 is less than one year, the weekly average yield on actually traded United States Treasury securities adjusted to a constant maturity of one year will be used. The Issuer will (1)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w:t>
      </w:r>
    </w:p>
    <w:p>
      <w:pPr>
        <w:spacing w:after="0" w:line="63" w:lineRule="exact"/>
        <w:rPr>
          <w:rFonts w:ascii="Arial" w:cs="Arial" w:eastAsia="Arial" w:hAnsi="Arial"/>
          <w:sz w:val="16"/>
          <w:szCs w:val="16"/>
          <w:color w:val="auto"/>
        </w:rPr>
      </w:pPr>
    </w:p>
    <w:p>
      <w:pPr>
        <w:ind w:left="1000" w:right="319" w:hanging="348"/>
        <w:spacing w:after="0" w:line="290"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with respect to the 2029 Notes and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 period from such redemption date to April 15, 2024;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April 15, 2024 is less than one year, the weekly average yield on actually traded United States Treasury securities adjusted to a constant maturity of one year will be used.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59"/>
        <w:spacing w:after="0" w:line="311" w:lineRule="auto"/>
        <w:rPr>
          <w:sz w:val="20"/>
          <w:szCs w:val="20"/>
          <w:color w:val="auto"/>
        </w:rPr>
      </w:pPr>
      <w:r>
        <w:rPr>
          <w:rFonts w:ascii="Arial" w:cs="Arial" w:eastAsia="Arial" w:hAnsi="Arial"/>
          <w:sz w:val="16"/>
          <w:szCs w:val="16"/>
          <w:color w:val="auto"/>
        </w:rPr>
        <w:t>Issuer will (1)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 and</w:t>
      </w:r>
    </w:p>
    <w:p>
      <w:pPr>
        <w:spacing w:after="0" w:line="41" w:lineRule="exact"/>
        <w:rPr>
          <w:sz w:val="20"/>
          <w:szCs w:val="20"/>
          <w:color w:val="auto"/>
        </w:rPr>
      </w:pPr>
    </w:p>
    <w:p>
      <w:pPr>
        <w:ind w:left="1000" w:right="319" w:hanging="348"/>
        <w:spacing w:after="0" w:line="287"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with respect to the 2031 Notes and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(or the relevant information is no longer published therein), any publicly available source of similar market data)) most nearly equal to the period from such redemption date to April 15, 2026;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such redemption date to April 15, 2026 is less than one year, the weekly average yield on actually traded United States Treasury securities adjusted to a constant maturity of one year will be used. The Issuer will (1) calculate the Treasury Rate on the third business day preceding the applicable redemption date and (2) prior to such redemption date file with the Trustee an officers’ certificate setting forth the Applicable Premium and the Treasury Rate and showing the calculation of each in reasonable detail.</w:t>
      </w:r>
    </w:p>
    <w:p>
      <w:pPr>
        <w:spacing w:after="0" w:line="64"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or “</w:t>
      </w:r>
      <w:r>
        <w:rPr>
          <w:rFonts w:ascii="Arial" w:cs="Arial" w:eastAsia="Arial" w:hAnsi="Arial"/>
          <w:sz w:val="18"/>
          <w:szCs w:val="18"/>
          <w:i w:val="1"/>
          <w:iCs w:val="1"/>
          <w:color w:val="auto"/>
        </w:rPr>
        <w:t>Uniform Commercial Code</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w:t>
      </w:r>
    </w:p>
    <w:p>
      <w:pPr>
        <w:spacing w:after="0" w:line="76"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Issuer that is designated by the Board of Directors of the Issuer as an Unrestricted Subsidiary pursuant to a resolution of the Board of Directors, but only to the extent that:</w:t>
      </w:r>
    </w:p>
    <w:p>
      <w:pPr>
        <w:spacing w:after="0" w:line="76" w:lineRule="exact"/>
        <w:rPr>
          <w:sz w:val="20"/>
          <w:szCs w:val="20"/>
          <w:color w:val="auto"/>
        </w:rPr>
      </w:pPr>
    </w:p>
    <w:p>
      <w:pPr>
        <w:ind w:left="1000" w:right="75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such Subsidiary does not hold any Liens on any property of Parent, the Issuer or any of its Restricted Subsidiaries;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such Subsidiary has not guaranteed or otherwise directly or indirectly provided credit support for any Indebtedness of the Issuer or any of its Restricted Subsidiaries, except to the extent that such guarantee or credit support would be released upon such designation.</w:t>
      </w:r>
    </w:p>
    <w:p>
      <w:pPr>
        <w:spacing w:after="0" w:line="76"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62"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62" w:lineRule="exact"/>
        <w:rPr>
          <w:sz w:val="20"/>
          <w:szCs w:val="20"/>
          <w:color w:val="auto"/>
        </w:rPr>
      </w:pPr>
    </w:p>
    <w:p>
      <w:pPr>
        <w:ind w:left="1000" w:right="439" w:hanging="348"/>
        <w:spacing w:after="0" w:line="279"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Wholly-Owned Subsidiary”</w:t>
      </w:r>
      <w:r>
        <w:rPr>
          <w:rFonts w:ascii="Arial" w:cs="Arial" w:eastAsia="Arial" w:hAnsi="Arial"/>
          <w:sz w:val="17"/>
          <w:szCs w:val="17"/>
          <w:color w:val="auto"/>
        </w:rPr>
        <w:t xml:space="preserve"> of any specified Person means a Subsidiary of such Person, all of the outstanding Capital Stock or other ownership interests of which (other than (a) directors’ qualifying shares and (b) nominal shares issued to foreign nationals to the extent required by applicable legal requirements) is owned by such Person directly or through one or more Wholly-Owned Subsidiaries of such Person. Except if expressly otherwise specified, Wholly-Owned Subsidiary means a Wholly-Owned Subsidiary of the Issuer.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BOOK-ENTRY SYSTEM; DELIVERY AND FORM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The Notes of each series will be deposited with the Trustee on behalf of The Depository Trust Company (“DTC”), in the form of one or more global notes (the “Global Notes”). The Notes will be issued as fully-registered securities registered in the name of Cede &amp; Co. (DTC’s nominee) or such other name as may be requested by an authorized representative of DTC. So long as DTC or its nominee is the registered owner of a Global Note, DTC or that nominee will be considered the sole owner or holder of the Notes represented by that Global Note for all purposes under the indenture governing the Notes and under the Notes of the applicable series. Except as set forth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of the applicable series for any purpose, including with respect to the giving of any direction, instruction or approval to the Trustee. Accordingly, each holder owning a beneficial interest in a Global Note must rely on the procedures of DTC and, if that holder is not a direct participant in DTC, on the procedures of the participant through which that holder owns its interest, to receive any payments on or a Note or to exercise any rights of a holder of Notes under the indenture or the Global Note.</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(“Certificated Notes”)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84" w:lineRule="exact"/>
        <w:rPr>
          <w:sz w:val="20"/>
          <w:szCs w:val="20"/>
          <w:color w:val="auto"/>
        </w:rPr>
      </w:pPr>
    </w:p>
    <w:p>
      <w:pPr>
        <w:ind w:left="300" w:right="799" w:firstLine="360"/>
        <w:spacing w:after="0" w:line="259" w:lineRule="auto"/>
        <w:rPr>
          <w:sz w:val="20"/>
          <w:szCs w:val="20"/>
          <w:color w:val="auto"/>
        </w:rPr>
      </w:pPr>
      <w:r>
        <w:rPr>
          <w:rFonts w:ascii="Arial" w:cs="Arial" w:eastAsia="Arial" w:hAnsi="Arial"/>
          <w:sz w:val="18"/>
          <w:szCs w:val="18"/>
          <w:color w:val="auto"/>
        </w:rPr>
        <w:t xml:space="preserve">In addition, transfers of beneficial interests in the Global Notes will be subject to the applicable rules and procedures of DTC and its direct or indirect participants (including, if applicable, those of Euroclear Bank S.A./N.V., as operator of the Euroclear System (“Euroclear”) or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which may change from time to time.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Depositary Procedures</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following description of the operations and procedures of DTC is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63"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DTC has advised us that DTC is a limited-purpose trust company organized under the laws of the State of New York, a “banking organization” within the meaning of the New York Banking Law, a member of the Federal Reserve System, a “clearing corporation” within the meaning of the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also advised the Issuer that, pursuant to procedures established by it:</w:t>
      </w:r>
    </w:p>
    <w:p>
      <w:pPr>
        <w:spacing w:after="0" w:line="117" w:lineRule="exact"/>
        <w:rPr>
          <w:sz w:val="20"/>
          <w:szCs w:val="20"/>
          <w:color w:val="auto"/>
        </w:rPr>
      </w:pPr>
    </w:p>
    <w:p>
      <w:pPr>
        <w:ind w:left="1000" w:right="1079" w:hanging="348"/>
        <w:spacing w:after="0" w:line="308"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upon deposit of the Global Notes, DTC will credit the accounts of participants designated by the underwriters with portions of the principal amount of the Global Notes; and</w:t>
      </w:r>
    </w:p>
    <w:p>
      <w:pPr>
        <w:spacing w:after="0" w:line="38" w:lineRule="exact"/>
        <w:rPr>
          <w:rFonts w:ascii="Arial" w:cs="Arial" w:eastAsia="Arial" w:hAnsi="Arial"/>
          <w:sz w:val="17"/>
          <w:szCs w:val="17"/>
          <w:color w:val="auto"/>
        </w:rPr>
      </w:pPr>
    </w:p>
    <w:p>
      <w:pPr>
        <w:ind w:left="1000" w:right="399" w:hanging="348"/>
        <w:spacing w:after="0" w:line="259"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As long as DTC is the depositary for the notes of the relevant series, you may hold interests in the notes of such series through participants in DTC, including Euroclear and Clearstream.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accounts in the depositaries’ names on DTC’s books. The Trustee has no liability or responsibility for the action or inaction of DTC or any other depositary. 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the rules and procedures of DTC.</w:t>
      </w:r>
    </w:p>
    <w:p>
      <w:pPr>
        <w:spacing w:after="0" w:line="64"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purchases or sales of their interests between the U.S. and European clearing systems, and those transactions may settle later than transactions within one clearing system.</w:t>
      </w:r>
    </w:p>
    <w:p>
      <w:pPr>
        <w:spacing w:after="0" w:line="60" w:lineRule="exact"/>
        <w:rPr>
          <w:sz w:val="20"/>
          <w:szCs w:val="20"/>
          <w:color w:val="auto"/>
        </w:rPr>
      </w:pPr>
    </w:p>
    <w:p>
      <w:pPr>
        <w:jc w:val="both"/>
        <w:ind w:left="300" w:right="779" w:firstLine="360"/>
        <w:spacing w:after="0" w:line="261" w:lineRule="auto"/>
        <w:rPr>
          <w:sz w:val="20"/>
          <w:szCs w:val="20"/>
          <w:color w:val="auto"/>
        </w:rPr>
      </w:pPr>
      <w:r>
        <w:rPr>
          <w:rFonts w:ascii="Arial" w:cs="Arial" w:eastAsia="Arial" w:hAnsi="Arial"/>
          <w:sz w:val="18"/>
          <w:szCs w:val="18"/>
          <w:b w:val="1"/>
          <w:bCs w:val="1"/>
          <w:color w:val="auto"/>
        </w:rPr>
        <w:t>Except as described below, beneficial owners of an interest in the Global Notes will not have Notes registered in their names, will not receive physical delivery of Notes in certificated form and will not be considered the registered owners or “holders” thereof under the indentures governing the Notes for any purpose.</w:t>
      </w:r>
    </w:p>
    <w:p>
      <w:pPr>
        <w:spacing w:after="0" w:line="76"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Payments in respect of the principal of, and interest and premium, if any, on a Global Note registered in the name of DTC or its nominee will be payable to DTC in its capacity as the registered holder under the indentures governing the Notes. Under the terms of the indentures governing the Notes, the Issuer and the Trustee will treat the persons in whose names the Notes, including the Global Notes, are registered as the owners of such Notes for the purpose of receiving payments and for all other purposes. Consequently, neither the Issuer or the Trustee, nor any agent of the Issuer or the Trustee, has or will have any responsibility or liability for:</w:t>
      </w:r>
    </w:p>
    <w:p>
      <w:pPr>
        <w:spacing w:after="0" w:line="56" w:lineRule="exact"/>
        <w:rPr>
          <w:sz w:val="20"/>
          <w:szCs w:val="20"/>
          <w:color w:val="auto"/>
        </w:rPr>
      </w:pPr>
    </w:p>
    <w:p>
      <w:pPr>
        <w:ind w:left="1000" w:right="499" w:hanging="348"/>
        <w:spacing w:after="0" w:line="259"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8"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6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nor any of their respective agents will be liable for any delay by DTC or any of its participants or indirect participants in identifying the beneficial owners of the Notes, and the Issuer, the Trustee and their respective agents may conclusively rely on and will be protected in relying on instructions from DTC or its nominee for all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59" w:firstLine="360"/>
        <w:spacing w:after="0" w:line="263" w:lineRule="auto"/>
        <w:rPr>
          <w:sz w:val="20"/>
          <w:szCs w:val="20"/>
          <w:color w:val="auto"/>
        </w:rPr>
      </w:pPr>
      <w:r>
        <w:rPr>
          <w:rFonts w:ascii="Arial" w:cs="Arial" w:eastAsia="Arial" w:hAnsi="Arial"/>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7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DTC has advised the Issuer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53"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Subject to compliance with the transfer restrictions applicable to the Notes described herein, cross-market transfers between DTC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74"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Although DTC has agreed to the foregoing procedures in order to facilitate transfers of interests in the Global Notes among participants in DTC, it is under no obligation to perform such procedures, and such procedures may be discontinued or changed at any time. Neither the Issuer nor the Trustee nor any of their respective agents will have any responsibility for the performance by DTC or its participants or indirect participants of their respective obligations under the rules and procedures governing their operations.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117" w:lineRule="exact"/>
        <w:rPr>
          <w:sz w:val="20"/>
          <w:szCs w:val="20"/>
          <w:color w:val="auto"/>
        </w:rPr>
      </w:pPr>
    </w:p>
    <w:p>
      <w:pPr>
        <w:ind w:left="1000" w:hanging="348"/>
        <w:spacing w:after="0"/>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DTC (a) notifies the Issuer that it is unwilling or unable to continue as depositary for the Global Notes or</w:t>
      </w:r>
    </w:p>
    <w:p>
      <w:pPr>
        <w:spacing w:after="0" w:line="46" w:lineRule="exact"/>
        <w:rPr>
          <w:rFonts w:ascii="Arial" w:cs="Arial" w:eastAsia="Arial" w:hAnsi="Arial"/>
          <w:sz w:val="16"/>
          <w:szCs w:val="16"/>
          <w:color w:val="auto"/>
        </w:rPr>
      </w:pPr>
    </w:p>
    <w:p>
      <w:pPr>
        <w:ind w:left="1000" w:right="399"/>
        <w:spacing w:after="0" w:line="255" w:lineRule="auto"/>
        <w:rPr>
          <w:rFonts w:ascii="Arial" w:cs="Arial" w:eastAsia="Arial" w:hAnsi="Arial"/>
          <w:sz w:val="16"/>
          <w:szCs w:val="16"/>
          <w:color w:val="auto"/>
        </w:rPr>
      </w:pPr>
      <w:r>
        <w:rPr>
          <w:rFonts w:ascii="Arial" w:cs="Arial" w:eastAsia="Arial" w:hAnsi="Arial"/>
          <w:sz w:val="18"/>
          <w:szCs w:val="18"/>
          <w:color w:val="auto"/>
        </w:rPr>
        <w:t>(b) has ceased to be a clearing agency registered under the Exchange Act and, in either case, the Issuer fails to appoint a successor depositary within 120 days after receiving such notice or becoming aware that DTC is no longer so registered;</w:t>
      </w:r>
    </w:p>
    <w:p>
      <w:pPr>
        <w:spacing w:after="0" w:line="81" w:lineRule="exact"/>
        <w:rPr>
          <w:rFonts w:ascii="Arial" w:cs="Arial" w:eastAsia="Arial" w:hAnsi="Arial"/>
          <w:sz w:val="16"/>
          <w:szCs w:val="16"/>
          <w:color w:val="auto"/>
        </w:rPr>
      </w:pPr>
    </w:p>
    <w:p>
      <w:pPr>
        <w:ind w:left="1000" w:hanging="348"/>
        <w:spacing w:after="0"/>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requested by such a Holder after the occurrence and during the continuance of an Event of Default; or</w:t>
      </w:r>
    </w:p>
    <w:p>
      <w:pPr>
        <w:spacing w:after="0" w:line="140"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Issuer executes and delivers to the Trustee an officers’ certificate to the effect that such Global Note will be so exchangeable.</w:t>
      </w:r>
    </w:p>
    <w:p>
      <w:pPr>
        <w:spacing w:after="0" w:line="62"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 Under the terms of the indentures governing the Notes, the Issuer and the Trustee will treat the persons in whose names any Certificated Notes are registered as the owners of such Certificated Notes for the purpose of receiving payments and for all other purposes.</w:t>
      </w:r>
    </w:p>
    <w:p>
      <w:pPr>
        <w:spacing w:after="0" w:line="53"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Unless and until we issue the Notes in fully certificated, registered form, (1) you will not be entitled to receive a certificate representing your interest in the Notes; (2) all references in this prospectus supplement or in the accompanying prospectus to actions by holders will refer to actions taken by the depositary upon instructions from their direct participants; and (3) all references in this prospectus supplement or the accompanying prospectus to payments and notices to holders will refer to payments and notices to the depositary, as the registered holder of the Notes, for distribution to you in accordance with its policies and procedures.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Same Day Settlement and Payment</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Issuer will make payments in respect of the Notes represented by the Global Notes (including principal, premium, if any, and interest) by wire transfer of immediately available funds to the accounts specified by the Global Note holder. The Issuer will make all payments of principal, interest and premium, if any, with respect to Certificated Notes by wire transfer of immediately available funds to the accounts specified by the registered holders of the Certificated Notes or, if no such account is specified, by mailing a check to each such holder’s registered address. The Notes represented by the Global Notes are expected to be made eligible to trade in DTC’s Same-Day Funds Settlement System, and any permitted secondary market trading activity in such Notes will, therefore, be required by DTC to be settled in immediately available funds. The Issuer expects that secondary trading in any Certificated Notes will also be settled in immediately available funds.</w:t>
      </w:r>
    </w:p>
    <w:p>
      <w:pPr>
        <w:spacing w:after="0" w:line="73"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Because of time zone differences, the securities account of a Euroclear or Clearstream participant purchasing an interest in a Global Note from a DTC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 that cash received in Euroclear or Clearstream as a result of sales of interests in a Global Note by or through a Euroclear or Clearstream participant to a DTC participant will be received with value on the settlement date of DTC but will be available in the relevant Euroclear or Clearstream cash account only as of the business day for Euroclear or Clearstream following DTC’s settlement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following discussion is a summary of certain U.S. federal income tax consequences of the purchase, ownership and disposition of the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beneficial owner of the Notes. We have not sought and will not seek any rulings from the IRS regarding the matters discussed below. There can be no assurance the IRS or a court will not take a contrary position to that discussed below regarding the U.S. federal income tax consequences of the purchase, ownership and disposition of the Notes.</w:t>
      </w:r>
    </w:p>
    <w:p>
      <w:pPr>
        <w:spacing w:after="0" w:line="64"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This discussion is limited to beneficial owners who hold the Notes as “capital assets” within the meaning of Section 1221 of the Code (generally, property held for investment). In addition, this discussion is limited to persons purchasing the Notes for cash at original issue and at the original “issue price” of the applicable series of the Notes within the meaning of Section 1273 of the Code (</w:t>
      </w:r>
      <w:r>
        <w:rPr>
          <w:rFonts w:ascii="Arial" w:cs="Arial" w:eastAsia="Arial" w:hAnsi="Arial"/>
          <w:sz w:val="17"/>
          <w:szCs w:val="17"/>
          <w:i w:val="1"/>
          <w:iCs w:val="1"/>
          <w:color w:val="auto"/>
        </w:rPr>
        <w:t>i.e.</w:t>
      </w:r>
      <w:r>
        <w:rPr>
          <w:rFonts w:ascii="Arial" w:cs="Arial" w:eastAsia="Arial" w:hAnsi="Arial"/>
          <w:sz w:val="17"/>
          <w:szCs w:val="17"/>
          <w:color w:val="auto"/>
        </w:rPr>
        <w:t>, the first price at which a substantial amount of the Notes of such series is sold for money to investors, other than bond houses, brokers, or similar persons or organizations acting in the capacity of underwriters, placement agents or wholesalers). This discussion does not address all U.S. federal income tax consequences relevant to a beneficial owner’s particular circumstances, including the impact of the Medicare contribution tax on net investment income. In addition, it does not address consequences relevant to beneficial owners subject to special rules, including, without limitation:</w:t>
      </w:r>
    </w:p>
    <w:p>
      <w:pPr>
        <w:spacing w:after="0" w:line="73" w:lineRule="exact"/>
        <w:rPr>
          <w:sz w:val="20"/>
          <w:szCs w:val="20"/>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persons holding the Notes as part of a hedge, straddle or other risk reduction strategy or as part of a conversion, constructive sale, wash sale or other integrated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brokers, dealers or traders in securities or currencies;</w:t>
      </w:r>
    </w:p>
    <w:p>
      <w:pPr>
        <w:spacing w:after="0" w:line="117"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U.S. Holders that hold Notes through non-U.S. brokers or other non-U.S. intermediaries;;</w:t>
      </w:r>
    </w:p>
    <w:p>
      <w:pPr>
        <w:spacing w:after="0" w:line="117"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 and</w:t>
      </w:r>
    </w:p>
    <w:p>
      <w:pPr>
        <w:spacing w:after="0" w:line="62"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tax-exempt entities, retirement plans, individual retirement accounts, tax-deferred accounts, and governmental organizations.</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U.S. Holders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U.S. Holders that use an accrual method of accounting for U.S. federal income tax purposes should consult with their tax advisors regarding the potential applicability of this rule to their particular situation. The remainder of this discussion does not address the application of the foregoing rule.</w:t>
      </w:r>
    </w:p>
    <w:p>
      <w:pPr>
        <w:spacing w:after="0" w:line="87"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If an entity or arrangement treated as a partnership for U.S. federal income tax purposes holds the Notes, the U.S. federal income tax treatment of a partner in the partnership generally will depend on the status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partner, the activities of the partnership and certain determinations made at the partner level. Accordingly, entities or arrangements classified as partnerships for U.S. federal income tax purposes considering an investment in the Notes and the partners in such partnerships should consult their tax advisors regarding the U.S. federal income tax consequences to them.</w:t>
      </w:r>
    </w:p>
    <w:p>
      <w:pPr>
        <w:spacing w:after="0" w:line="75"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Definition of a U.S. Holder</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a Note that, for U.S. federal income tax purposes, is treated as:</w:t>
      </w:r>
    </w:p>
    <w:p>
      <w:pPr>
        <w:spacing w:after="0" w:line="62" w:lineRule="exact"/>
        <w:rPr>
          <w:sz w:val="20"/>
          <w:szCs w:val="20"/>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with respect to which one or more “United States persons” (within the meaning of Section 7701(a)(30) of the Code) have the authority to control all substantial decisions, or (2) has a valid election in effect to be treated as a United States person for U.S. federal income tax purposes.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Interest on a Note generally will be included in a U.S. Holder’s gross income and taxed as ordinary income at the time such interest is received or accrued, in accordance with such U.S. Holder’s method of tax accounting for U.S. federal income tax purposes.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A U.S. Holder will recognize gain or loss, if any, on the sale, exchange, redemption, retirement or other taxable disposition of a Note. The amount of such gain or loss will generally equal the difference between the amount received for the Note in cash or other property valued at fair market value (less amounts attributable to any accrued but unpaid interest, which will be taxable as interest to the extent not previously included in income in the manner described above under “—Payments of Interest”) and the U.S. Holder’s adjusted tax basis in the Note. A U.S. Holder’s adjusted tax basis in a Note generally will be equal to the amount the U.S. Holder paid for the Note. Any gain or loss will be capital gain or loss, and will be long-term capital gain or loss if the U.S. Holder has held the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A U.S. Holder generally will be subject to information reporting and backup withholding when such holder receives payments of interest on a Note or receives proceeds from the sale or other taxable disposition of a Note (including a redemption or retirement of a Note). Certain U.S. Holders are exempt from backup withholding, including corporations and certain tax-exempt entities, provided that such U.S. Holders furnish appropriate evidence of exemption. A U.S. Holder will be subject to backup withholding if such holder is not otherwise exempt and fails to furnish the holder’s taxpayer identification number, which for an individual is ordinarily his or her social security number, or otherwise comply with the requirements of the backup withholding rules.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U.S. Holder’s U.S. federal income tax liability, if any, provided the required information is timely furnished to the IRS. U.S. Holders should consult their tax advisors regarding their qualification for an exemption from backup withholding and the procedures for obtaining such an exemption.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Applicable to Non-U.S. Holders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Definition of a Non-U.S. Holder</w:t>
      </w:r>
    </w:p>
    <w:p>
      <w:pPr>
        <w:spacing w:after="0" w:line="11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a Note that is, for U.S. federal income tax purposes, an individual, corporation, estate or trust that is not a U.S. Holder.</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300" w:right="699" w:firstLine="360"/>
        <w:spacing w:after="0" w:line="311" w:lineRule="auto"/>
        <w:rPr>
          <w:sz w:val="20"/>
          <w:szCs w:val="20"/>
          <w:color w:val="auto"/>
        </w:rPr>
      </w:pPr>
      <w:r>
        <w:rPr>
          <w:rFonts w:ascii="Arial" w:cs="Arial" w:eastAsia="Arial" w:hAnsi="Arial"/>
          <w:sz w:val="16"/>
          <w:szCs w:val="16"/>
          <w:color w:val="auto"/>
        </w:rPr>
        <w:t>Subject to the discussions of backup withholding and FATCA below, interest paid on a Note to a Non-U.S. Holder that is not effectively connected with the Non-U.S. Holder’s conduct of a trade or business within the United States generally will not be subject to U.S. federal income tax or withholding tax provided that:</w:t>
      </w:r>
    </w:p>
    <w:p>
      <w:pPr>
        <w:spacing w:after="0" w:line="41" w:lineRule="exact"/>
        <w:rPr>
          <w:sz w:val="20"/>
          <w:szCs w:val="20"/>
          <w:color w:val="auto"/>
        </w:rPr>
      </w:pPr>
    </w:p>
    <w:p>
      <w:pPr>
        <w:ind w:left="1000" w:right="499" w:hanging="348"/>
        <w:spacing w:after="0" w:line="308"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Non-U.S. Holder does not, actually or constructively, own 10% or more of the total combined voting power of all classes of our voting stock within the meaning of Section 871(h)(3) of the Code;</w:t>
      </w:r>
    </w:p>
    <w:p>
      <w:pPr>
        <w:spacing w:after="0" w:line="38" w:lineRule="exact"/>
        <w:rPr>
          <w:rFonts w:ascii="Arial" w:cs="Arial" w:eastAsia="Arial" w:hAnsi="Arial"/>
          <w:sz w:val="17"/>
          <w:szCs w:val="17"/>
          <w:color w:val="auto"/>
        </w:rPr>
      </w:pPr>
    </w:p>
    <w:p>
      <w:pPr>
        <w:ind w:left="1000" w:right="619" w:hanging="348"/>
        <w:spacing w:after="0" w:line="277"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related to us through actual or constructive stock ownership (as provided in the Code);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Non-U.S. Holder is not a bank receiving interest described in Section 881(c)(3)(A) of the Code; and</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Non-U.S. Holder provides a signed written statement on an IRS Form W-8BEN or W-8BEN-E</w:t>
      </w:r>
    </w:p>
    <w:p>
      <w:pPr>
        <w:spacing w:after="0" w:line="34" w:lineRule="exact"/>
        <w:rPr>
          <w:rFonts w:ascii="Arial" w:cs="Arial" w:eastAsia="Arial" w:hAnsi="Arial"/>
          <w:sz w:val="17"/>
          <w:szCs w:val="17"/>
          <w:color w:val="auto"/>
        </w:rPr>
      </w:pPr>
    </w:p>
    <w:p>
      <w:pPr>
        <w:ind w:left="1000" w:right="379"/>
        <w:spacing w:after="0" w:line="287" w:lineRule="auto"/>
        <w:rPr>
          <w:rFonts w:ascii="Arial" w:cs="Arial" w:eastAsia="Arial" w:hAnsi="Arial"/>
          <w:sz w:val="17"/>
          <w:szCs w:val="17"/>
          <w:color w:val="auto"/>
        </w:rPr>
      </w:pPr>
      <w:r>
        <w:rPr>
          <w:rFonts w:ascii="Arial" w:cs="Arial" w:eastAsia="Arial" w:hAnsi="Arial"/>
          <w:sz w:val="16"/>
          <w:szCs w:val="16"/>
          <w:color w:val="auto"/>
        </w:rPr>
        <w:t>(or other applicable form), which can be reliably associated with the Non-U.S. Holder, certifying that the Non-U.S. Holder is not a United States person to (1) the applicable withholding agent, (2) a securities clearing organization, bank or other financial institution that holds customers’ securities in the ordinary course of its trade or business and holds the Note on behalf of the Non-U.S. Holder and certifies to the applicable withholding agent (directly or through one or more similarly situated financial institutions) that it has received from the Non-U.S. Holder (or another financial institution) the signed written statement described above and provides a copy of such statement; or (3) a “qualified intermediary” (within the meaning of applicable Treasury Regulations), provided that certain conditions are satisfied.</w:t>
      </w:r>
    </w:p>
    <w:p>
      <w:pPr>
        <w:spacing w:after="0" w:line="62"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If a Non-U.S. Holder does not satisfy the requirements described above, such Non-U.S. Holder will be subject to a U.S. federal withholding tax of 30% (or such lower rate specified by an applicable income tax treaty) on interest that is not effectively connected with the Non-U.S. Holder’s conduct of a trade or business within the United States. To claim an entitlement to a reduction in or exemption from withholding on such interest as a result of an applicable tax treaty, the Non-U.S. Holder must provide the applicable withholding agent with a properly executed IRS Form W-8BEN or W-8BEN-E (or other applicable documentation) claiming a reduction in or exemption from withholding tax under an income tax treaty between the United States and the country in which the Non-U.S. Holder resides or is established. Non-U.S. Holders should consult their tax advisors regarding their entitlement to benefits under any applicable income tax treaty.</w:t>
      </w:r>
    </w:p>
    <w:p>
      <w:pPr>
        <w:spacing w:after="0" w:line="73"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the Non-U.S. Holder will be exempt from the U.S. federal withholding tax described above, unless an applicable income tax treaty provides otherwise. To claim the exemption, the Non-U.S. Holder must furnish to the applicable withholding agent a valid IRS Form W-8ECI (or other applicable form), certifying that interest paid on a Note is not subject to withholding tax because it is effectively connected with the conduct by the Non-U.S. Holder of a trade or business within the United States.</w:t>
      </w:r>
    </w:p>
    <w:p>
      <w:pPr>
        <w:spacing w:after="0" w:line="70"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tax rates in the same manner as if the Non-U.S. Holder were a U.S. person, unless an applicable income tax treaty provides otherwise. A Non-U.S. Holder that is a corporation also may be subject to a branch profits tax at a rate of 30% (or such lower rate specified by an applicable income tax treaty) on its effectively connected earnings and profits, as adjusted for certain items.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interest and must be updated periodically.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17" w:lineRule="exact"/>
        <w:rPr>
          <w:sz w:val="20"/>
          <w:szCs w:val="20"/>
          <w:color w:val="auto"/>
        </w:rPr>
      </w:pPr>
    </w:p>
    <w:p>
      <w:pPr>
        <w:ind w:left="300" w:right="299" w:firstLine="360"/>
        <w:spacing w:after="0" w:line="279" w:lineRule="auto"/>
        <w:rPr>
          <w:sz w:val="20"/>
          <w:szCs w:val="20"/>
          <w:color w:val="auto"/>
        </w:rPr>
      </w:pPr>
      <w:r>
        <w:rPr>
          <w:rFonts w:ascii="Arial" w:cs="Arial" w:eastAsia="Arial" w:hAnsi="Arial"/>
          <w:sz w:val="17"/>
          <w:szCs w:val="17"/>
          <w:color w:val="auto"/>
        </w:rPr>
        <w:t>Subject to the discussions of backup withholding and FATCA below, a Non-U.S. Holder will not be subject to U.S. federal income tax on any gain recognized upon the sale, exchange, redemption, retirement or other taxable disposition of a Note (excluding any amount allocable to accrued and unpaid interest, which generally will be treated as interest subject to the rules discussed above in “—Payments of Interest”) unless:</w:t>
      </w:r>
    </w:p>
    <w:p>
      <w:pPr>
        <w:spacing w:after="0" w:line="63" w:lineRule="exact"/>
        <w:rPr>
          <w:sz w:val="20"/>
          <w:szCs w:val="20"/>
          <w:color w:val="auto"/>
        </w:rPr>
      </w:pPr>
    </w:p>
    <w:p>
      <w:pPr>
        <w:ind w:left="1000" w:right="699" w:hanging="348"/>
        <w:spacing w:after="0" w:line="286" w:lineRule="auto"/>
        <w:tabs>
          <w:tab w:leader="none" w:pos="10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57" w:lineRule="exact"/>
        <w:rPr>
          <w:rFonts w:ascii="Arial" w:cs="Arial" w:eastAsia="Arial" w:hAnsi="Arial"/>
          <w:sz w:val="17"/>
          <w:szCs w:val="17"/>
          <w:color w:val="auto"/>
        </w:rPr>
      </w:pPr>
    </w:p>
    <w:p>
      <w:pPr>
        <w:ind w:left="1000" w:right="439" w:hanging="348"/>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during the taxable year of the disposition and certain other requirements are met.</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tax rates in the same manner as if the Non-U.S. Holder were a U.S. person. A Non-U.S. Holder that is a foreign corporation also may be subject to a branch profits tax at a rate of 30% (or such lower rate specified by an applicable income tax treaty) on its effectively connected earnings and profits, as adjusted for certain items.</w:t>
      </w:r>
    </w:p>
    <w:p>
      <w:pPr>
        <w:spacing w:after="0" w:line="80"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Gain described in the second bullet point above generally will be subject to U.S. federal income tax at a rate of 30% (even though the individual is not considered a resident of the United States), which may be offset by certain U.S. source capital losses of the Non-U.S. Holder, provided the Non-U.S. Holder has timely filed U.S. federal income tax returns with respect to such losses.</w:t>
      </w:r>
    </w:p>
    <w:p>
      <w:pPr>
        <w:spacing w:after="0" w:line="79"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Payments of interest generally will not be subject to backup withholding, provided the holder certifies its non-U.S. status as described above under “—Payments of Interest.” However, information returns are required to be filed with the IRS in connection with any interest paid to the Non-U.S. Holder, regardless of whether any tax was actually withheld. In addition, proceeds of the sale or other taxable disposition of a Note (including a retirement or redemption of the Note) within the United States or conducted through certain U.S.-related brokers generally will be subject to backup withholding and/or information reporting, unless the applicable withholding agent receives the statement described above or the beneficial owner otherwise establishes an exemption. Proceeds of a disposition of a Note paid outside the United States and conducted through a non-U.S. office of a non-U.S. broker generally will not be subject to backup withholding or information reporting.</w:t>
      </w:r>
    </w:p>
    <w:p>
      <w:pPr>
        <w:spacing w:after="0" w:line="73"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6"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jc w:val="both"/>
        <w:ind w:left="300" w:right="919" w:firstLine="360"/>
        <w:spacing w:after="0" w:line="287" w:lineRule="auto"/>
        <w:rPr>
          <w:sz w:val="20"/>
          <w:szCs w:val="20"/>
          <w:color w:val="auto"/>
        </w:rPr>
      </w:pPr>
      <w:r>
        <w:rPr>
          <w:rFonts w:ascii="Arial" w:cs="Arial" w:eastAsia="Arial" w:hAnsi="Arial"/>
          <w:sz w:val="16"/>
          <w:szCs w:val="16"/>
          <w:color w:val="auto"/>
        </w:rPr>
        <w:t>Sections 1471 to 1474 of the Code and related Treasury guidance (commonly referred to as the Foreign Account Tax Compliance Act, or “FATCA”) generally impose U.S. federal withholding tax at a 30% rate on payments made to non-U.S. entities (whether such entities are the beneficial owners or intermediaries) of</w:t>
      </w:r>
    </w:p>
    <w:p>
      <w:pPr>
        <w:spacing w:after="0" w:line="2" w:lineRule="exact"/>
        <w:rPr>
          <w:sz w:val="20"/>
          <w:szCs w:val="20"/>
          <w:color w:val="auto"/>
        </w:rPr>
      </w:pPr>
    </w:p>
    <w:p>
      <w:pPr>
        <w:ind w:left="300" w:right="299"/>
        <w:spacing w:after="0" w:line="292" w:lineRule="auto"/>
        <w:rPr>
          <w:sz w:val="20"/>
          <w:szCs w:val="20"/>
          <w:color w:val="auto"/>
        </w:rPr>
      </w:pPr>
      <w:r>
        <w:rPr>
          <w:rFonts w:ascii="Arial" w:cs="Arial" w:eastAsia="Arial" w:hAnsi="Arial"/>
          <w:sz w:val="16"/>
          <w:szCs w:val="16"/>
          <w:color w:val="auto"/>
        </w:rPr>
        <w:t>U.S. source interest (including interest on the Notes) and gross proceeds from the sale or other disposition (including a retirement or redemption) of an obligation that produces U.S.-source interest (including a disposition of the Notes). This obligation applies unless the foreign entity complies with (1) certain information reporting requirements regarding its U.S. account holders and U.S. owners and (2) certain withholding obligations regarding certain payments to its account holders and certain other persons, or the foreign entity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qualifies for an exemption from these rules. Accordingly, the entity through which a U.S. Holder or a Non-U.S. Holder holds its Notes will affect the determination of whether such withholding is required. Under recently proposed Treasury Regulations that may be relied upon pending finalization, the withholding tax on gross proceeds would be eliminated and, consequently, FATCA withholding on gross proceeds is not expected to apply. We will not pay additional amounts to U.S. Holders or Non-U.S. Holders in respect of amounts withheld under FATCA. Foreign financial institutions located in jurisdictions that have an intergovernmental agreement with the United States governing FATCA may be subject to different rules.</w:t>
      </w:r>
    </w:p>
    <w:p>
      <w:pPr>
        <w:spacing w:after="0" w:line="87"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Credit Suisse Securities (USA) LLC is acting as representative of each of the underwriters named below. Subject to the terms and conditions set forth in an underwriting agreement among the Issuer, Parent, the other guarantors and the representative for itself and as representative of the several underwriters, the Issuer has agreed to sell to the underwriters, and each of the underwriters has agreed, severally and not jointly, to purchase, the principal amount of Notes set forth opposite its name below.</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 Amount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3"/>
        </w:trPr>
        <w:tc>
          <w:tcPr>
            <w:tcW w:w="4260" w:type="dxa"/>
            <w:vAlign w:val="bottom"/>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2026 Notes</w:t>
            </w:r>
          </w:p>
        </w:tc>
        <w:tc>
          <w:tcPr>
            <w:tcW w:w="1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2029 Notes</w:t>
            </w:r>
          </w:p>
        </w:tc>
        <w:tc>
          <w:tcPr>
            <w:tcW w:w="16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b w:val="1"/>
                <w:bCs w:val="1"/>
                <w:color w:val="auto"/>
                <w:w w:val="97"/>
              </w:rPr>
              <w:t>2031 Notes</w:t>
            </w:r>
          </w:p>
        </w:tc>
      </w:tr>
      <w:tr>
        <w:trPr>
          <w:trHeight w:val="53"/>
        </w:trPr>
        <w:tc>
          <w:tcPr>
            <w:tcW w:w="38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311"/>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155,706,000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162,193,000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175,169,000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139,472,000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145,284,000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156,906,000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139,472,000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145,284,000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156,906,000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139,472,000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145,284,000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156,906,000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103,031,000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107,324,000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115,910,000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103,031,000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107,324,000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115,910,000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103,031,000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107,324,000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115,910,000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103,031,000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107,324,000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115,910,000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Commerz Markets LLC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22,176,000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22,176,000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22,176,000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19,712,000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20,533,000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30,145,000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31,403,000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33,916,000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NatWest Markets Securities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7,005,000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6,725,000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7,005,000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7,565,000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7,005,000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6,725,000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7,005,000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7,565,000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7,005,000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7,565,000</w:t>
            </w: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4,080,000</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4,250,000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4,590,000</w:t>
            </w:r>
          </w:p>
        </w:tc>
      </w:tr>
      <w:tr>
        <w:trPr>
          <w:trHeight w:val="54"/>
        </w:trPr>
        <w:tc>
          <w:tcPr>
            <w:tcW w:w="3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4,125,000</w:t>
            </w: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4,455,000</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Multi-Bank Securities, Inc.</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3,960,000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4,125,000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4,455,000</w:t>
            </w:r>
          </w:p>
        </w:tc>
      </w:tr>
      <w:tr>
        <w:trPr>
          <w:trHeight w:val="61"/>
        </w:trPr>
        <w:tc>
          <w:tcPr>
            <w:tcW w:w="3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r>
      <w:tr>
        <w:trPr>
          <w:trHeight w:val="29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1,200,000,000</w:t>
            </w:r>
          </w:p>
        </w:tc>
        <w:tc>
          <w:tcPr>
            <w:tcW w:w="3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1,250,000,000</w:t>
            </w:r>
          </w:p>
        </w:tc>
        <w:tc>
          <w:tcPr>
            <w:tcW w:w="380" w:type="dxa"/>
            <w:vAlign w:val="bottom"/>
            <w:shd w:val="clear" w:color="auto" w:fill="CCEEFF"/>
          </w:tcPr>
          <w:p>
            <w:pPr>
              <w:spacing w:after="0"/>
              <w:rPr>
                <w:sz w:val="24"/>
                <w:szCs w:val="24"/>
                <w:color w:val="auto"/>
              </w:rPr>
            </w:pP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1,350,000,000</w:t>
            </w:r>
          </w:p>
        </w:tc>
      </w:tr>
      <w:tr>
        <w:trPr>
          <w:trHeight w:val="27"/>
        </w:trPr>
        <w:tc>
          <w:tcPr>
            <w:tcW w:w="38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right w:val="single" w:sz="8" w:color="CCEEFF"/>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-5177155</wp:posOffset>
            </wp:positionV>
            <wp:extent cx="2400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-5177155</wp:posOffset>
            </wp:positionV>
            <wp:extent cx="2400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-5177155</wp:posOffset>
            </wp:positionV>
            <wp:extent cx="2400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 may be increased or the underwriting agreement may be terminated.</w:t>
      </w:r>
    </w:p>
    <w:p>
      <w:pPr>
        <w:spacing w:after="0" w:line="49" w:lineRule="exact"/>
        <w:rPr>
          <w:sz w:val="20"/>
          <w:szCs w:val="20"/>
          <w:color w:val="auto"/>
        </w:rPr>
      </w:pPr>
    </w:p>
    <w:p>
      <w:pPr>
        <w:jc w:val="both"/>
        <w:ind w:left="300" w:right="939" w:firstLine="360"/>
        <w:spacing w:after="0" w:line="263" w:lineRule="auto"/>
        <w:rPr>
          <w:sz w:val="20"/>
          <w:szCs w:val="20"/>
          <w:color w:val="auto"/>
        </w:rPr>
      </w:pPr>
      <w:r>
        <w:rPr>
          <w:rFonts w:ascii="Arial" w:cs="Arial" w:eastAsia="Arial" w:hAnsi="Arial"/>
          <w:sz w:val="18"/>
          <w:szCs w:val="18"/>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The representative has advised us that the underwriters propose initially to offer the Notes to the public at the public offering prices set forth on the cover page of this prospectus supplement. After the initial offering, the public offering prices or any other terms of this offering may be changed. The underwriters may offer and sell Notes through certain of their affiliates. The underwriters reserve the right to reject an order of Notes in whole or in part.</w:t>
      </w:r>
    </w:p>
    <w:p>
      <w:pPr>
        <w:spacing w:after="0" w:line="49"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We estimate that our costs, fees and expenses in connection with this offering, other than underwriting discounts and commissions, will be $5.9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145"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Market for the Notes</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There is no established trading market for the Notes. The Issuer does not intend to apply for the Notes to be listed on any securities exchange or to arrange for the Notes to be quoted on any quotation system. The Issuer has been advised by the underwriters that they presently intend to make a market in the Notes after completion of this offering. The underwriters are not obligated, however, to make a market in the Notes and any such market making may be discontinued at any time at the sole discretion of the underwriters. In addition, market-making activities will be subject to the limits imposed by the Exchange Act, and may be limited. Accordingly, no assurance can be given as to liquidity of the trading market for the Notes or that an active public market for the Notes will develop. If an active public trading market for the Notes does not develop or ceases to exist,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Sale of Similar Securities</w:t>
      </w:r>
    </w:p>
    <w:p>
      <w:pPr>
        <w:spacing w:after="0" w:line="12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We have agreed that we will not, after the date of this prospectus supplement and until the issue date of the Notes, without first obtaining the prior written consent of the representative, offer, sell, contract to sell or otherwise dispose of any debt securities issued or guaranteed by the Issuer, Parent or any of the Subsidiary Guarantors and having a tenor of more than one year.</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300" w:right="499" w:firstLine="360"/>
        <w:spacing w:after="0" w:line="272" w:lineRule="auto"/>
        <w:rPr>
          <w:sz w:val="20"/>
          <w:szCs w:val="20"/>
          <w:color w:val="auto"/>
        </w:rPr>
      </w:pPr>
      <w:r>
        <w:rPr>
          <w:rFonts w:ascii="Arial" w:cs="Arial" w:eastAsia="Arial" w:hAnsi="Arial"/>
          <w:sz w:val="17"/>
          <w:szCs w:val="17"/>
          <w:color w:val="auto"/>
        </w:rPr>
        <w:t>We expect that delivery of the Notes will be made to investors on or about March 23, 2021, which will be the fifth business day following the date of this prospectus supplement (such settlement being referred to as “T+5”). Under Rule 15c6-1 under the Exchange Act, trades in the secondary market generally are required to settle in two business days unless the parties to any such trade expressly agree otherwise. Accordingly, purchasers who wish to trade the Notes on the date of pricing or the next two business days will be required, by virtue of the fact that the Notes initially will settle in T+5, to specify an alternative settlement cycle at the time of any such trade to prevent failed settlement and should consult their own advisors.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and Short Positions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In connection with the offering of the Notes, the underwriters, or persons acting on their behalf, may engage in transactions that stabilize, maintain or otherwise affect the price of the Notes. Specifically, the underwriters, or persons acting on their behalf, may bid for and purchase Notes in the open market to stabilize the price of the Notes. The underwriters, or persons acting on their behalf, may also over-allot the offering of the Notes, creating a syndicate short position, and may bid for and purchase Notes in the open market to cover the syndicate short position. In addition, the underwriters, or persons acting on their behalf, may bid for and purchase Notes in market-making transactions as permitted by applicable laws and regulations and impose penalty bids. Any of these activities may have the effect of preventing or retarding a decline in the market price of the Notes. These activities may also stabilize or maintain the respective market price of the Notes above market levels that may otherwise prevail. The underwriters are not required to engage in these activities, and may end these activities at any time. Accordingly, no assurance can be given as to the liquidity of, or trading markets for, the Notes.</w:t>
      </w:r>
    </w:p>
    <w:p>
      <w:pPr>
        <w:spacing w:after="0" w:line="64" w:lineRule="exact"/>
        <w:rPr>
          <w:sz w:val="20"/>
          <w:szCs w:val="20"/>
          <w:color w:val="auto"/>
        </w:rPr>
      </w:pPr>
    </w:p>
    <w:p>
      <w:pPr>
        <w:ind w:left="300" w:right="559" w:firstLine="360"/>
        <w:spacing w:after="0" w:line="301" w:lineRule="auto"/>
        <w:rPr>
          <w:sz w:val="20"/>
          <w:szCs w:val="20"/>
          <w:color w:val="auto"/>
        </w:rPr>
      </w:pPr>
      <w:r>
        <w:rPr>
          <w:rFonts w:ascii="Arial" w:cs="Arial" w:eastAsia="Arial" w:hAnsi="Arial"/>
          <w:sz w:val="16"/>
          <w:szCs w:val="16"/>
          <w:color w:val="auto"/>
        </w:rPr>
        <w:t>Neither the Issuer nor any of the underwriters make any representation or prediction as to the direction or magnitude of any effect that the transactions described above may have on the price of the Notes. In addition, neither the Issuer nor any of the underwriters make any representation that the representative will engage in these transactions or that these transactions, once commenced, will not be discontinued without notice.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300" w:right="419" w:firstLine="360"/>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and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8" w:lineRule="auto"/>
        <w:rPr>
          <w:sz w:val="20"/>
          <w:szCs w:val="20"/>
          <w:color w:val="auto"/>
        </w:rPr>
      </w:pPr>
      <w:r>
        <w:rPr>
          <w:rFonts w:ascii="Arial" w:cs="Arial" w:eastAsia="Arial" w:hAnsi="Arial"/>
          <w:sz w:val="16"/>
          <w:szCs w:val="16"/>
          <w:color w:val="auto"/>
        </w:rPr>
        <w:t>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and/or their respective affiliates may be lenders under, or holders of, our indebtedness and would therefore receive any portion of the net proceeds of this offering used to repay such indebtedness. Affiliates of certain of the underwriters act as lenders and/or agents under the Credit Agreement. Deutsche Bank Securities Inc., one of the underwriters, is an affiliate of the Trustee.</w:t>
      </w:r>
    </w:p>
    <w:p>
      <w:pPr>
        <w:spacing w:after="0" w:line="6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If any of the underwriters or their affiliates have a lending relationship with us, certain of those underwriters or their affiliates are likely to hedge and certain other of those underwriters or their affiliates may hedge their credit exposure to us consistent with their customary risk management policies. Typically, they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70"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In addition, affiliates of certain of the underwriters have made commitments to provide us with secured bridge financing pursuant to that certain bridge commitment letter dated as of October 30, 2020, as amended on November 13, 2020, in an aggregate amount of up to $2.0 billion (reflecting commitment reductions as a result of the Q1 Notes Issuances). These commitments may be reduced by an amount equal to the aggregate gross proceeds of the Notes. See “Use of Proceeds.”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519" w:firstLine="360"/>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12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Prohibition of sales to United Kingdom Retail Investors</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supplement and the accompanying prospectus are for distribution only to persons who</w:t>
      </w:r>
    </w:p>
    <w:p>
      <w:pPr>
        <w:spacing w:after="0" w:line="129" w:lineRule="exact"/>
        <w:rPr>
          <w:sz w:val="20"/>
          <w:szCs w:val="20"/>
          <w:color w:val="auto"/>
        </w:rPr>
      </w:pPr>
    </w:p>
    <w:p>
      <w:pPr>
        <w:ind w:left="1000" w:right="979" w:hanging="348"/>
        <w:spacing w:after="0" w:line="311"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have professional experience in matters relating to investments and who qualify as investment professionals within the meaning of Article 19(5) of the Financial Services and Markets Act 2000 (Financial Promotion) Order 2005 (as amended, the “Financial Promotion Order”);</w:t>
      </w:r>
    </w:p>
    <w:p>
      <w:pPr>
        <w:spacing w:after="0" w:line="40"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are persons falling within Article 49(2)(a) to (d) (“high net worth companies, unincorporated associations etc.”) of the Financial Promotion Order;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are outside the United Kingdom; or</w:t>
      </w:r>
    </w:p>
    <w:p>
      <w:pPr>
        <w:spacing w:after="0" w:line="117"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w:t>
      </w:r>
    </w:p>
    <w:p>
      <w:pPr>
        <w:spacing w:after="0" w:line="79"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7"/>
          <w:szCs w:val="17"/>
          <w:color w:val="auto"/>
        </w:rPr>
        <w:t>This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SEA; (2) where no consideration is given for the transfer; or (3) by operation of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Singapore Securities and Futures Act Product Classification</w:t>
      </w:r>
    </w:p>
    <w:p>
      <w:pPr>
        <w:spacing w:after="0" w:line="117"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359"/>
        <w:spacing w:after="0" w:line="271" w:lineRule="auto"/>
        <w:rPr>
          <w:sz w:val="20"/>
          <w:szCs w:val="20"/>
          <w:color w:val="auto"/>
        </w:rPr>
      </w:pPr>
      <w:r>
        <w:rPr>
          <w:rFonts w:ascii="Arial" w:cs="Arial" w:eastAsia="Arial" w:hAnsi="Arial"/>
          <w:sz w:val="17"/>
          <w:szCs w:val="17"/>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Certain legal matters with respect to the issuance of the Notes offered hereby will be passed upon for us by Fried, Frank, Harris, Shriver &amp; Jacobson LLP, New York, New York; McLane Middleton Professional Association, Manchester, New Hampshire and Polsinelli PC, Kansas City, Missouri, and for the underwriters by Cahill Gordon &amp; Reindel LLP, New York, New York.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T-Mobile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 which contains an explanatory paragraph on the effectiveness of internal control over financial reporting due to the exclusion of certain elements of the internal control over financial reporting of the Sprint business T-Mobile acquired during 2020.</w:t>
      </w:r>
    </w:p>
    <w:p>
      <w:pPr>
        <w:spacing w:after="0" w:line="84"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 xml:space="preserve">The consolidated financial statements of Sprint and subsidiaries incorporated in this prospectus supplement by reference from T-Mobile US’s Current Report on Form 8-K filed on May 18, 2020 have been audited by Deloitte &amp; Touche LLP, independent auditors, as stated in their report (which report expresses an unqualified opinion and includes an explanatory paragraph relating to Sprint’s adoption of Accounting Standard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an emphasis of matter paragraph relating to the acquisition of Sprint by T-Mobile US on April 1,</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incorporated by reference herein. Such consolidated financial statements have been so incorporated in reliance upon the report of such firm given upon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This prospectus supplement is part of a registration statement on Form S-3 that we filed with the SEC, as amended. That registration statement contains more information than this prospectus supplement and the accompanying prospectus regarding us and our securities, including certain exhibits and schedules. You can obtain a copy of the registration statement from the SEC at the address listed below or from the SEC’s website.</w:t>
      </w:r>
    </w:p>
    <w:p>
      <w:pPr>
        <w:spacing w:after="0" w:line="63"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supplement and you should not consider it a part of this prospectus supplement, the accompanying prospectus or any related free writing prospectus (except for our SEC reports expressly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later information filed with the SEC will automatically update and supersede this information. We incorporate by reference the documents listed below and all documents we subsequently file with the SEC pursuant to Sections 13(a), 13(c), 14 or 15(d) of the Exchange Act, prior to the termination of this offering under this prospectus supplement (other than information deemed furnished and not filed in accordance with SEC rules, including Items 2.02 and 7.01 of Form 8-K):</w:t>
      </w:r>
    </w:p>
    <w:p>
      <w:pPr>
        <w:spacing w:after="0" w:line="69" w:lineRule="exact"/>
        <w:rPr>
          <w:sz w:val="20"/>
          <w:szCs w:val="20"/>
          <w:color w:val="auto"/>
        </w:rPr>
      </w:pPr>
    </w:p>
    <w:p>
      <w:pPr>
        <w:ind w:left="1000" w:right="839" w:hanging="348"/>
        <w:spacing w:after="0" w:line="277" w:lineRule="auto"/>
        <w:tabs>
          <w:tab w:leader="none" w:pos="1000" w:val="left"/>
        </w:tabs>
        <w:numPr>
          <w:ilvl w:val="0"/>
          <w:numId w:val="156"/>
        </w:numPr>
        <w:rPr>
          <w:rFonts w:ascii="Arial" w:cs="Arial" w:eastAsia="Arial" w:hAnsi="Arial"/>
          <w:sz w:val="18"/>
          <w:szCs w:val="18"/>
          <w:color w:val="0000EE"/>
        </w:rPr>
      </w:pPr>
      <w:r>
        <w:rPr>
          <w:rFonts w:ascii="Arial" w:cs="Arial" w:eastAsia="Arial" w:hAnsi="Arial"/>
          <w:sz w:val="18"/>
          <w:szCs w:val="18"/>
          <w:color w:val="auto"/>
        </w:rPr>
        <w:t xml:space="preserve">Parent’s Annual Report on Form 10-K for the year ended December 31, 2020 filed with the SEC on </w:t>
      </w:r>
      <w:hyperlink r:id="rId209">
        <w:r>
          <w:rPr>
            <w:rFonts w:ascii="Arial" w:cs="Arial" w:eastAsia="Arial" w:hAnsi="Arial"/>
            <w:sz w:val="18"/>
            <w:szCs w:val="18"/>
            <w:u w:val="single" w:color="auto"/>
            <w:color w:val="0000EE"/>
          </w:rPr>
          <w:t>February 23,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59" w:hanging="348"/>
        <w:spacing w:after="0" w:line="263"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Parent’s Proxy Statement on Schedule 14A filed with the SEC on </w:t>
      </w:r>
      <w:hyperlink r:id="rId210">
        <w:r>
          <w:rPr>
            <w:rFonts w:ascii="Arial" w:cs="Arial" w:eastAsia="Arial" w:hAnsi="Arial"/>
            <w:sz w:val="18"/>
            <w:szCs w:val="18"/>
            <w:u w:val="single" w:color="auto"/>
            <w:color w:val="0000EE"/>
          </w:rPr>
          <w:t>April 21, 2020</w:t>
        </w:r>
      </w:hyperlink>
      <w:r>
        <w:rPr>
          <w:rFonts w:ascii="Arial" w:cs="Arial" w:eastAsia="Arial" w:hAnsi="Arial"/>
          <w:sz w:val="18"/>
          <w:szCs w:val="18"/>
          <w:color w:val="auto"/>
        </w:rPr>
        <w:t>, to the extent specifically incorporated by reference into Part III of Parent’s Annual Report on Form 10-K for the year ended December 31, 2019; and</w:t>
      </w:r>
    </w:p>
    <w:p>
      <w:pPr>
        <w:spacing w:after="0" w:line="75"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56"/>
        </w:numPr>
        <w:rPr>
          <w:rFonts w:ascii="Arial" w:cs="Arial" w:eastAsia="Arial" w:hAnsi="Arial"/>
          <w:sz w:val="18"/>
          <w:szCs w:val="18"/>
          <w:color w:val="0000EE"/>
        </w:rPr>
      </w:pPr>
      <w:hyperlink r:id="rId211">
        <w:r>
          <w:rPr>
            <w:rFonts w:ascii="Arial" w:cs="Arial" w:eastAsia="Arial" w:hAnsi="Arial"/>
            <w:sz w:val="18"/>
            <w:szCs w:val="18"/>
            <w:color w:val="auto"/>
          </w:rPr>
          <w:t xml:space="preserve">Parent’s Current Reports on Form 8-K filed with the SEC on </w:t>
        </w:r>
        <w:r>
          <w:rPr>
            <w:rFonts w:ascii="Arial" w:cs="Arial" w:eastAsia="Arial" w:hAnsi="Arial"/>
            <w:sz w:val="18"/>
            <w:szCs w:val="18"/>
            <w:u w:val="single" w:color="auto"/>
            <w:color w:val="0000EE"/>
          </w:rPr>
          <w:t>May 18,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auto"/>
        </w:rPr>
        <w:t xml:space="preserve"> </w:t>
      </w:r>
      <w:hyperlink r:id="rId211">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2">
        <w:r>
          <w:rPr>
            <w:rFonts w:ascii="Arial" w:cs="Arial" w:eastAsia="Arial" w:hAnsi="Arial"/>
            <w:sz w:val="18"/>
            <w:szCs w:val="18"/>
            <w:u w:val="single" w:color="auto"/>
            <w:color w:val="0000EE"/>
          </w:rPr>
          <w:t xml:space="preserve">March 10, 2021 </w:t>
        </w:r>
      </w:hyperlink>
      <w:hyperlink r:id="rId21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13">
        <w:r>
          <w:rPr>
            <w:rFonts w:ascii="Arial" w:cs="Arial" w:eastAsia="Arial" w:hAnsi="Arial"/>
            <w:sz w:val="18"/>
            <w:szCs w:val="18"/>
            <w:u w:val="single" w:color="auto"/>
            <w:color w:val="0000EE"/>
          </w:rPr>
          <w:t>March 16, 2021</w:t>
        </w:r>
      </w:hyperlink>
      <w:hyperlink r:id="rId211">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300" w:right="419" w:firstLine="360"/>
        <w:spacing w:after="0" w:line="255" w:lineRule="auto"/>
        <w:rPr>
          <w:sz w:val="20"/>
          <w:szCs w:val="20"/>
          <w:color w:val="auto"/>
        </w:rPr>
      </w:pPr>
      <w:r>
        <w:rPr>
          <w:rFonts w:ascii="Arial" w:cs="Arial" w:eastAsia="Arial" w:hAnsi="Arial"/>
          <w:sz w:val="18"/>
          <w:szCs w:val="18"/>
          <w:color w:val="auto"/>
        </w:rPr>
        <w:t>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84" w:lineRule="exact"/>
        <w:rPr>
          <w:rFonts w:ascii="Arial" w:cs="Arial" w:eastAsia="Arial" w:hAnsi="Arial"/>
          <w:sz w:val="18"/>
          <w:szCs w:val="18"/>
          <w:color w:val="0000EE"/>
        </w:rPr>
      </w:pPr>
    </w:p>
    <w:p>
      <w:pPr>
        <w:ind w:left="300" w:right="799" w:firstLine="360"/>
        <w:spacing w:after="0" w:line="342" w:lineRule="auto"/>
        <w:rPr>
          <w:sz w:val="20"/>
          <w:szCs w:val="20"/>
          <w:color w:val="auto"/>
        </w:rPr>
      </w:pPr>
      <w:r>
        <w:rPr>
          <w:rFonts w:ascii="Arial" w:cs="Arial" w:eastAsia="Arial" w:hAnsi="Arial"/>
          <w:sz w:val="16"/>
          <w:szCs w:val="16"/>
          <w:color w:val="auto"/>
        </w:rPr>
        <w:t>You may request a copy of these filings (other than an exhibit to a filing unless that exhibit is specifically incorporated by reference in that filing) at no cost, by writing to or telephoning us at the following address:</w:t>
      </w:r>
    </w:p>
    <w:p>
      <w:pPr>
        <w:spacing w:after="0" w:line="70"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David A. Miller</w:t>
      </w:r>
    </w:p>
    <w:p>
      <w:pPr>
        <w:spacing w:after="0" w:line="2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T-Mobile US, Inc.</w:t>
      </w:r>
    </w:p>
    <w:p>
      <w:pPr>
        <w:spacing w:after="0" w:line="9"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12920 SE 38th Street Bellevue, Washington 98006</w:t>
      </w:r>
    </w:p>
    <w:p>
      <w:pPr>
        <w:spacing w:after="0" w:line="9" w:lineRule="exact"/>
        <w:rPr>
          <w:rFonts w:ascii="Arial" w:cs="Arial" w:eastAsia="Arial" w:hAnsi="Arial"/>
          <w:sz w:val="18"/>
          <w:szCs w:val="18"/>
          <w:color w:val="0000EE"/>
        </w:rPr>
      </w:pPr>
    </w:p>
    <w:p>
      <w:pPr>
        <w:ind w:left="4280" w:right="3959" w:hanging="338"/>
        <w:spacing w:after="0" w:line="605" w:lineRule="auto"/>
        <w:tabs>
          <w:tab w:leader="none" w:pos="436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383-4000 S-128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523240</wp:posOffset>
            </wp:positionV>
            <wp:extent cx="1474470" cy="3086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T-MOBILE US, INC.</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Guarantees of Debt Securities of T-Mobile USA, Inc.</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T-MOBILE USA, INC.</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0" w:lineRule="exact"/>
        <w:rPr>
          <w:sz w:val="20"/>
          <w:szCs w:val="20"/>
          <w:color w:val="auto"/>
        </w:rPr>
      </w:pPr>
    </w:p>
    <w:p>
      <w:pPr>
        <w:spacing w:after="0" w:line="235" w:lineRule="exact"/>
        <w:rPr>
          <w:sz w:val="20"/>
          <w:szCs w:val="20"/>
          <w:color w:val="auto"/>
        </w:rPr>
      </w:pPr>
    </w:p>
    <w:p>
      <w:pPr>
        <w:jc w:val="both"/>
        <w:ind w:left="400" w:right="419" w:firstLine="360"/>
        <w:spacing w:after="0" w:line="255" w:lineRule="auto"/>
        <w:rPr>
          <w:sz w:val="20"/>
          <w:szCs w:val="20"/>
          <w:color w:val="auto"/>
        </w:rPr>
      </w:pPr>
      <w:r>
        <w:rPr>
          <w:rFonts w:ascii="Arial" w:cs="Arial" w:eastAsia="Arial" w:hAnsi="Arial"/>
          <w:sz w:val="18"/>
          <w:szCs w:val="18"/>
          <w:color w:val="auto"/>
        </w:rPr>
        <w:t>T-Mobile USA, Inc., a Delaware corporation, may, from time to time, offer to sell, in one or more offerings, the debt securities described in this prospectus. T-Mobile US, Inc., a Delaware corporation, and the Co-Registrants listed in the Table of Additional Registrants in the registration statement on Form S-3 of which this prospectus forms a part may, from time to time, offer to sell, in one or more offerings, guarantees of debt securities of T-Mobile USA, Inc. The specific terms of any debt securities to be offered will be described in a supplement to this prospectus.</w:t>
      </w:r>
    </w:p>
    <w:p>
      <w:pPr>
        <w:spacing w:after="0" w:line="192" w:lineRule="exact"/>
        <w:rPr>
          <w:sz w:val="20"/>
          <w:szCs w:val="20"/>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The securities may be sold to or through one or more underwriters, dealers or agents, or directly to investors, on a continuous or delayed basis. See “Plan of Distribution.”</w:t>
      </w:r>
    </w:p>
    <w:p>
      <w:pPr>
        <w:spacing w:after="0" w:line="166" w:lineRule="exact"/>
        <w:rPr>
          <w:sz w:val="20"/>
          <w:szCs w:val="20"/>
          <w:color w:val="auto"/>
        </w:rPr>
      </w:pPr>
    </w:p>
    <w:p>
      <w:pPr>
        <w:jc w:val="both"/>
        <w:ind w:left="400" w:right="419" w:firstLine="360"/>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risks. See “Risk Factors” on page </w:t>
      </w:r>
      <w:hyperlink w:anchor="page142">
        <w:r>
          <w:rPr>
            <w:rFonts w:ascii="Arial" w:cs="Arial" w:eastAsia="Arial" w:hAnsi="Arial"/>
            <w:sz w:val="16"/>
            <w:szCs w:val="16"/>
            <w:b w:val="1"/>
            <w:bCs w:val="1"/>
            <w:u w:val="single" w:color="auto"/>
            <w:color w:val="0000EE"/>
          </w:rPr>
          <w:t>5</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 and any applicable prospectus supplement, and in the documents which are incorporated by reference herein.</w:t>
      </w:r>
    </w:p>
    <w:p>
      <w:pPr>
        <w:spacing w:after="0" w:line="116" w:lineRule="exact"/>
        <w:rPr>
          <w:sz w:val="20"/>
          <w:szCs w:val="20"/>
          <w:color w:val="auto"/>
        </w:rPr>
      </w:pPr>
    </w:p>
    <w:p>
      <w:pPr>
        <w:jc w:val="both"/>
        <w:ind w:left="400" w:right="41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is September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6" w:name="page137"/>
    <w:bookmarkEnd w:id="136"/>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About This Prospectus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38">
              <w:r>
                <w:rPr>
                  <w:rFonts w:ascii="Arial" w:cs="Arial" w:eastAsia="Arial" w:hAnsi="Arial"/>
                  <w:sz w:val="18"/>
                  <w:szCs w:val="18"/>
                  <w:color w:val="0000EE"/>
                </w:rPr>
                <w:t>1</w:t>
              </w:r>
            </w:hyperlink>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About Us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39">
              <w:r>
                <w:rPr>
                  <w:rFonts w:ascii="Arial" w:cs="Arial" w:eastAsia="Arial" w:hAnsi="Arial"/>
                  <w:sz w:val="18"/>
                  <w:szCs w:val="18"/>
                  <w:color w:val="0000EE"/>
                </w:rPr>
                <w:t>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Cautionary Note Regarding Forward-Looking Statements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0">
              <w:r>
                <w:rPr>
                  <w:rFonts w:ascii="Arial" w:cs="Arial" w:eastAsia="Arial" w:hAnsi="Arial"/>
                  <w:sz w:val="18"/>
                  <w:szCs w:val="18"/>
                  <w:color w:val="0000EE"/>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Risk Factors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42">
              <w:r>
                <w:rPr>
                  <w:rFonts w:ascii="Arial" w:cs="Arial" w:eastAsia="Arial" w:hAnsi="Arial"/>
                  <w:sz w:val="18"/>
                  <w:szCs w:val="18"/>
                  <w:color w:val="0000EE"/>
                </w:rPr>
                <w:t>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Use of Proceeds</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3">
              <w:r>
                <w:rPr>
                  <w:rFonts w:ascii="Arial" w:cs="Arial" w:eastAsia="Arial" w:hAnsi="Arial"/>
                  <w:sz w:val="18"/>
                  <w:szCs w:val="18"/>
                  <w:color w:val="0000EE"/>
                </w:rPr>
                <w:t>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Description of Debt Securities and Guarantees of Debt Securities</w:t>
              </w:r>
            </w:hyperlink>
          </w:p>
        </w:tc>
        <w:tc>
          <w:tcPr>
            <w:tcW w:w="2040" w:type="dxa"/>
            <w:vAlign w:val="bottom"/>
            <w:gridSpan w:val="3"/>
          </w:tcPr>
          <w:p>
            <w:pPr>
              <w:jc w:val="right"/>
              <w:ind w:right="180"/>
              <w:spacing w:after="0"/>
              <w:rPr>
                <w:rFonts w:ascii="Arial" w:cs="Arial" w:eastAsia="Arial" w:hAnsi="Arial"/>
                <w:sz w:val="18"/>
                <w:szCs w:val="18"/>
                <w:color w:val="0000EE"/>
              </w:rPr>
            </w:pPr>
            <w:hyperlink w:anchor="page144">
              <w:r>
                <w:rPr>
                  <w:rFonts w:ascii="Arial" w:cs="Arial" w:eastAsia="Arial" w:hAnsi="Arial"/>
                  <w:sz w:val="18"/>
                  <w:szCs w:val="18"/>
                  <w:color w:val="0000EE"/>
                </w:rPr>
                <w:t>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380" w:type="dxa"/>
            <w:vAlign w:val="bottom"/>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Plan of Distribution</w:t>
              </w:r>
            </w:hyperlink>
          </w:p>
        </w:tc>
        <w:tc>
          <w:tcPr>
            <w:tcW w:w="2040" w:type="dxa"/>
            <w:vAlign w:val="bottom"/>
            <w:gridSpan w:val="3"/>
            <w:shd w:val="clear" w:color="auto" w:fill="CCEEFF"/>
          </w:tcPr>
          <w:p>
            <w:pPr>
              <w:jc w:val="right"/>
              <w:ind w:right="180"/>
              <w:spacing w:after="0"/>
              <w:rPr>
                <w:rFonts w:ascii="Arial" w:cs="Arial" w:eastAsia="Arial" w:hAnsi="Arial"/>
                <w:sz w:val="18"/>
                <w:szCs w:val="18"/>
                <w:color w:val="0000EE"/>
              </w:rPr>
            </w:pPr>
            <w:hyperlink w:anchor="page145">
              <w:r>
                <w:rPr>
                  <w:rFonts w:ascii="Arial" w:cs="Arial" w:eastAsia="Arial" w:hAnsi="Arial"/>
                  <w:sz w:val="18"/>
                  <w:szCs w:val="18"/>
                  <w:color w:val="0000EE"/>
                </w:rPr>
                <w:t>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63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638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Legal Matters</w:t>
              </w:r>
            </w:hyperlink>
          </w:p>
        </w:tc>
        <w:tc>
          <w:tcPr>
            <w:tcW w:w="2040" w:type="dxa"/>
            <w:vAlign w:val="bottom"/>
            <w:gridSpan w:val="3"/>
          </w:tcPr>
          <w:p>
            <w:pPr>
              <w:jc w:val="right"/>
              <w:ind w:right="18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3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Experts</w:t>
              </w:r>
            </w:hyperlink>
          </w:p>
        </w:tc>
        <w:tc>
          <w:tcPr>
            <w:tcW w:w="204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38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Where You Can Find More Information</w:t>
              </w:r>
            </w:hyperlink>
          </w:p>
        </w:tc>
        <w:tc>
          <w:tcPr>
            <w:tcW w:w="2040" w:type="dxa"/>
            <w:vAlign w:val="bottom"/>
            <w:gridSpan w:val="3"/>
          </w:tcPr>
          <w:p>
            <w:pPr>
              <w:jc w:val="right"/>
              <w:ind w:right="18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10</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3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Information Incorporated by Reference</w:t>
              </w:r>
            </w:hyperlink>
          </w:p>
        </w:tc>
        <w:tc>
          <w:tcPr>
            <w:tcW w:w="204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11</w:t>
              </w:r>
            </w:hyperlink>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This prospectus is part of a registration statement on Form S-3 under the Securities Act of 1933, as amended (the “Securities Act”), that we filed with the Securities and Exchange Commission (the “SEC”) using the “shelf” registration process. Under this shelf registration process, we may offer and sell any combination of the securities described in this prospectus in one or more offerings. This prospectus provides you with a general description of the securities we may offer. Each time we use this prospectus to offer securities, we will provide you with a prospectus supplement that will describe the specific amounts, prices, and terms of the securities being offered. A prospectus supplement may add, update or change information contained in this prospectus. If information varies between this prospectus and any accompanying prospectus supplement, you should rely on the information in the accompanying prospectus supplement. This prospectus does not contain all the information provided in the registration statement filed with the SEC. You should carefully read both this prospectus and any prospectus supplement together with the additional information described below under “Where You Can Find More Information” and “Information Incorporated By Reference” before you make an investment decision.</w:t>
      </w:r>
    </w:p>
    <w:p>
      <w:pPr>
        <w:spacing w:after="0" w:line="6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have not authorized anyone to provide you with different information. This document may only be used where it is legal to sell these securities. You should not assume that the information contained in this prospectus, or in any prospectus supplement, is accurate as of any date other than its date regardless of the time of delivery of the prospectus or prospectus supplement or any sale of the securities.</w:t>
      </w:r>
    </w:p>
    <w:p>
      <w:pPr>
        <w:spacing w:after="0" w:line="6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Any statement made in this prospectus or in a document incorporated or deemed to be incorporated by reference in this prospectus will be deemed to be modified or superseded for purposes of this prospectus to the extent that a statement contained in a prospectus supplement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See “Information Incorporated By Reference.”</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may include trademarks, service marks and trade names owned by us or other companies. All trademarks, service marks and trade names included in this prospectus are the property of their respective owners.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this prospectus, unless the context indicates otherwise, references to the “Company” and “our Company” refer to T-Mobile US, Inc. and references to “T-Mobile,” “we,” “our,” “ours” and “us” refer to T-Mobile US, Inc. and its subsidiaries. T-Mobile US, Inc. has no operations separate from its investment in T-Mobile USA, Inc. (“T-Mobile USA”). Accordingly, unless otherwise noted, all of the financial information in this prospectus is presented on a consolidated basis of T-Mobile. References to “you” refer to a prospective investor.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US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and an exceptional experience and implementing signature Un-carrier initiatives that have changed wireless for good. We ended annual service contracts, overages, unpredictable international roaming fees, data buckets and so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provide wireless services to postpaid, prepaid and wholesale customers and generate revenue by providing affordable wireless communications services to these customers, as well as a wide selection of wireless devices and accessories. Our most significant expenses relate to acquiring and retaining high-quality customers, providing a full range of devices, compensating employees, and operating and expanding our network. We provide service, devices and accessories across our flagship brands, T-Mobile, Metro by T-Mobile and Sprint, through our owned and operated retail stores, as well as through our websites, T-Mobile app and customer care channels. In addition, we sell devices to dealers and other third-party distributors for resale through independent third-party retail outlets and a variety of third-party websites.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On April 1, 2020, we completed our merger with Sprint in an all-stock transaction. Sprint is a communications company that offers a comprehensive range of wireless and wireline communications products and services. Our corporate headquarters and principal executive offices are located at 12920 SE 38th Street, Bellevue, Washington 98006. Our telephone number is (425) 378-4000.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Certain statements in this prospectus, the documents incorporated by reference and our other public statements include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factors identified under “Risk Factors” and the risk factors incorporated by reference herein, could affect future results and cause those results to differ materially from those expressed in the forward-looking statements:</w:t>
      </w:r>
    </w:p>
    <w:p>
      <w:pPr>
        <w:spacing w:after="0" w:line="31" w:lineRule="exact"/>
        <w:rPr>
          <w:sz w:val="20"/>
          <w:szCs w:val="20"/>
          <w:color w:val="auto"/>
        </w:rPr>
      </w:pPr>
    </w:p>
    <w:p>
      <w:pPr>
        <w:jc w:val="both"/>
        <w:ind w:left="1000" w:right="299" w:hanging="348"/>
        <w:spacing w:after="0" w:line="25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with Sprint Corporation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in part or at all;</w:t>
      </w:r>
    </w:p>
    <w:p>
      <w:pPr>
        <w:spacing w:after="0" w:line="3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 and the impact that any of the foregoing may have on us and our customers and other stakeholders;</w:t>
      </w:r>
    </w:p>
    <w:p>
      <w:pPr>
        <w:spacing w:after="0" w:line="3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costs of or difficulties in integrating Sprint’s network and operations into our network and operations, including intellectual property and communications systems, administrative and information technology infrastructure and accounting, financial reporting and internal control systems;</w:t>
      </w:r>
    </w:p>
    <w:p>
      <w:pPr>
        <w:spacing w:after="0" w:line="30"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key customers, suppliers, employees or other business relationships as a result of the consummation of the Transactions;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risk that our business, investor confidence in our financial results and stock price may be adversely affected if our internal controls are not effective;</w:t>
      </w:r>
    </w:p>
    <w:p>
      <w:pPr>
        <w:spacing w:after="0" w:line="21"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risk of future material weaknesses resulting from the differences between T-Mobile’s and Sprint’s internal controls environments as we work to integrate and align policies and practices;</w:t>
      </w:r>
    </w:p>
    <w:p>
      <w:pPr>
        <w:spacing w:after="0" w:line="35"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impacts of the actions we have taken and conditions we have agreed to in connection with the regulatory proceedings and approvals of the Transactions including the disposition of Sprint’s prepaid wireless business (other than certain excluded assets) and certain related liabilities to DISH Network Corporation (the “Prepaid Transaction”) on July 1, 2020, the complaint and proposed final judgment agreed to by us, Deutsche Telekom AG, Sprint, SoftBank Group Corp. and DISH Network Corporation (“DISH”) with the U.S. District Court for the District of Columbia, which was approved by the Court on April 1, 2020, the proposed commitments filed with the Secretary of the FCC, which we announced on May 20, 2019, certain national security commitments and undertakings, and any other commitments or undertakings entered into, including but not limited to those we have made to certain states and nongovernmental organizations;</w:t>
      </w:r>
    </w:p>
    <w:p>
      <w:pPr>
        <w:spacing w:after="0" w:line="36"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ongoing commercial and transition services arrangements that we entered into with DISH in connection with the Prepaid Transaction, which we completed on July 1, 2020;</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assumption of significant liabilities, including the liabilities of Sprint in connection with, and significant costs, including financing costs, related to the Transactions;</w:t>
      </w:r>
    </w:p>
    <w:p>
      <w:pPr>
        <w:spacing w:after="0" w:line="3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our ability to make payments on debt or to repay existing or future indebtedness when due or to comply with the covenants contained therein;</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3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for wireless services, which could negatively affect our ability to attract and retain customers;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effects of any future merger, investment, or acquisition involving us, as well as the effects of mergers, investments or acquisitions in the technology, media and telecommunications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breaches of our and/or our third-party vendors’ networks, information technology and data security, resulting in unauthorized access to customer confidential information;</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inability to implement and maintain effective cybersecurity measures over critical business systems;</w:t>
      </w:r>
    </w:p>
    <w:p>
      <w:pPr>
        <w:spacing w:after="0" w:line="8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challenges in implementing our business strategies or funding our operations, including payment for additional spectrum or network upgrades;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impact on our networks and business from major system and network failures;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difficulties in managing growth in wireless data services, including network quality;</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material changes in available technology and the effects of such changes, including product substitutions and deployment costs and performance;</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timing, scope and financial impact of our deployment of advanced network and business technologies;</w:t>
      </w:r>
    </w:p>
    <w:p>
      <w:pPr>
        <w:spacing w:after="0" w:line="113"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occurrence of high fraud rates related to device financing, customer credit cards, dealers, subscriptions, or account take over fraud;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our inability to retain and hire key personnel;</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changes in the regulatory environments in which we operate, including any increase in restrictions on the ability to operate our networks and changes in data privacy laws;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unfavorable outcomes of existing or future litigation or regulatory actions, including litigation or regulatory actions related to the Transactions;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possibility that we may be unable to adequately protect our intellectual property rights or be accused of infringing the intellectual property rights of others;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tax laws, regulations and existing standards and the resolution of disputes with any taxing jurisdictions;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acquire new spectrum licenses or leases at reasonable costs and terms;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disruption or failure of third parties (including key suppliers) to provide products or services;</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material adverse changes in labor matters, including labor campaigns, negotiations or additional organizing activity, and any resulting financial, operational and/or reputational impact;</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accounting assumptions that regulatory agencies, including the SEC, may require, which could result in an impact on earnings;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documents incorporated herein by reference.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Forward-looking statements in this prospectus, any accompanying prospectus supplement or the documents incorporated by reference speak only as of the date of this prospectus, the applicable prospectus supplement or the applicable document incorporated by reference (or such earlier date as may be specified in the applicable prospectus supplement or other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the results of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 investment in our securities involves risks. You should carefully consider the risks described in the sections entitled “Risk Factors” in any prospectus supplement and those set forth in documents incorporated by reference in this prospectus and any applicable prospectus supplement, as well as other information in this prospectus and any applicable prospectus supplement, before purchasing any of our securities. Each of the risks described in these sections and documents could materially and adversely affect our business, financial condition, results of operations and prospects, and could result in a loss of your investment. Additional risks and uncertainties not known to us or that we deem immaterial may also impair our business, financial condition, results of operations and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indicated in the applicable prospectus supplement, we expect to use the net proceeds from the sale of the securities by us described in this prospectus for general corporate purposes, which could include, but may not be limited to, working capital, capital expenditures, the repayment or refinancing, in whole or in part, of debt, acquisition of additional spectrum, asset or business acquisitions, repurchase, redemption or retirement of securities, corporate development opportunities and future technology initiatives.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 AND GUARANTEES OF DEBT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may issue debt securities and guarantees of debt securities. We will set forth in the accompanying prospectus supplement a description of the debt securities and guarantees of debt securities that may be offered under this prospectus. The applicable prospectus supplement and other offering material relating to such offering will describe the specific terms relating to the series of debt securities and guarantees being offered, including a description of the material terms of the indenture (and any supplemental indentures) governing such series. These terms may include the following:</w:t>
      </w:r>
    </w:p>
    <w:p>
      <w:pPr>
        <w:spacing w:after="0" w:line="57" w:lineRule="exact"/>
        <w:rPr>
          <w:sz w:val="20"/>
          <w:szCs w:val="20"/>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title of the series of the offered debt securities;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price or prices at which the offered debt securities will be issued;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offered debt securities;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date or dates on which the principal of the offered debt securities will be payable;</w:t>
      </w:r>
    </w:p>
    <w:p>
      <w:pPr>
        <w:spacing w:after="0" w:line="7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year at which the offered debt securities will bear interest, if any, or the method of determining the rate or rates and the date or dates from which interest, if any, will accrue;</w:t>
      </w:r>
    </w:p>
    <w:p>
      <w:pPr>
        <w:spacing w:after="0" w:line="3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amount of principal, premium or interest with respect to the offered debt securities of the series may be determined with reference to an index or pursuant to a formula, the manner in which these amounts will be determined;</w:t>
      </w:r>
    </w:p>
    <w:p>
      <w:pPr>
        <w:spacing w:after="0" w:line="4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date or dates on which interest, if any, on the offered debt securities will be payable and the regular record dates for the payment thereof;</w:t>
      </w:r>
    </w:p>
    <w:p>
      <w:pPr>
        <w:spacing w:after="0" w:line="21" w:lineRule="exact"/>
        <w:rPr>
          <w:rFonts w:ascii="Arial" w:cs="Arial" w:eastAsia="Arial" w:hAnsi="Arial"/>
          <w:sz w:val="18"/>
          <w:szCs w:val="18"/>
          <w:color w:val="auto"/>
        </w:rPr>
      </w:pPr>
    </w:p>
    <w:p>
      <w:pPr>
        <w:ind w:left="1000" w:right="319" w:hanging="348"/>
        <w:spacing w:after="0" w:line="306" w:lineRule="auto"/>
        <w:tabs>
          <w:tab w:leader="none" w:pos="10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place or places, if any, in addition to or instead of the corporate trust office of the trustee, where the principal, premium and interest with respect to the offered debt securities will be payable;</w:t>
      </w:r>
    </w:p>
    <w:p>
      <w:pPr>
        <w:spacing w:after="0" w:line="1"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offered debt securities may be redeemed, in whole or in part, pursuant to optional redemption provisions;</w:t>
      </w:r>
    </w:p>
    <w:p>
      <w:pPr>
        <w:spacing w:after="0" w:line="48"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terms on which we would be required to redeem or purchase the offered debt securities pursuant to any sinking fund or similar provision, and the period or periods within which, the price or prices at which and the terms and conditions on which the offered debt securities will be so redeemed and purchased in whole or in part;</w:t>
      </w:r>
    </w:p>
    <w:p>
      <w:pPr>
        <w:spacing w:after="0" w:line="3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denominations of $2,000 and integral multiples of $1,000;</w:t>
      </w:r>
    </w:p>
    <w:p>
      <w:pPr>
        <w:spacing w:after="0" w:line="21"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form of the offered debt securities and whether the offered debt securities are to be issued in whole or in part in the form of one or more global securities and, if so, the identity of the depositary for the global security or securities;</w:t>
      </w:r>
    </w:p>
    <w:p>
      <w:pPr>
        <w:spacing w:after="0" w:line="4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portion of the principal amount of the offered debt securities that is payable on the declaration of acceleration of the maturity, if other than their principal amount;</w:t>
      </w:r>
    </w:p>
    <w:p>
      <w:pPr>
        <w:spacing w:after="0" w:line="21"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other than U.S. dollars, the currency or currencies in which the offered debt securities will be denominated and payable, and the holders’ rights, if any, to elect payment in a foreign currency or a foreign currency unit other than that in which the offered debt securities are otherwise payable;</w:t>
      </w:r>
    </w:p>
    <w:p>
      <w:pPr>
        <w:spacing w:after="0" w:line="16"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whether the offered debt securities will be issued with guarantees and, if so, the terms of any guarantee of the payment of principal and interest with respect to the offered debt securities;</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addition to, or modification or deletion of, any event of default or any covenant specified in the indenture;</w:t>
      </w:r>
    </w:p>
    <w:p>
      <w:pPr>
        <w:spacing w:after="0" w:line="21" w:lineRule="exact"/>
        <w:rPr>
          <w:rFonts w:ascii="Arial" w:cs="Arial" w:eastAsia="Arial" w:hAnsi="Arial"/>
          <w:sz w:val="18"/>
          <w:szCs w:val="18"/>
          <w:color w:val="auto"/>
        </w:rPr>
      </w:pPr>
    </w:p>
    <w:p>
      <w:pPr>
        <w:ind w:left="1000" w:right="319" w:hanging="348"/>
        <w:spacing w:after="0" w:line="306" w:lineRule="auto"/>
        <w:tabs>
          <w:tab w:leader="none" w:pos="10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whether the offered debt securities will be convertible or exchangeable into other securities, and if so, the terms and conditions upon which the offered debt securities will be convertible or exchangeable;</w:t>
      </w:r>
    </w:p>
    <w:p>
      <w:pPr>
        <w:spacing w:after="0" w:line="1" w:lineRule="exact"/>
        <w:rPr>
          <w:rFonts w:ascii="Arial" w:cs="Arial" w:eastAsia="Arial" w:hAnsi="Arial"/>
          <w:sz w:val="17"/>
          <w:szCs w:val="17"/>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whether the offered debt securities will be senior or subordinated debt securities;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other agents with respect to the offered debt securities;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other specific terms of the offered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being offered hereby:</w:t>
      </w:r>
    </w:p>
    <w:p>
      <w:pPr>
        <w:spacing w:after="0" w:line="117" w:lineRule="exact"/>
        <w:rPr>
          <w:sz w:val="20"/>
          <w:szCs w:val="20"/>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will identify the specific plan of distribution, including any direct purchasers, agents, dealers, underwriters and, if applicable, their compensation, the purchase price, the net proceeds to us, the public offering price, and any discounts or concessions allowed or reallowed or paid to dealers, in a prospectus supplement.</w:t>
      </w:r>
    </w:p>
    <w:p>
      <w:pPr>
        <w:spacing w:after="0" w:line="4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any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Offers to purchase the securities may be solicited directly by us or by agents designated by us from time to time. We will, in the prospectus supplement relating to an offering, name any agent that could be viewed as an underwriter under the Securities Act and describe any commissions we must pay. Any such agent will be acting on a best efforts basis for the period of its appointment or, if indicated in the applicable prospectus supplement, on a firm commitment basis.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dealer is utilized in the sale of the securities in respect of which this prospectus is delivered, we will sell the securities to the dealer, as principal. The dealer, which may be deemed to be an underwriter as that term is defined in the Securities Act, may then resell the securities to the public at varying prices to be determined by the dealer at the time of resale. Dealer trading may take place in certain of the securities, including securities not listed on any securities exchange.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an underwriter or underwriters are utilized in the sale, we will execute an underwriting agreement with the underwriters at the time of sale to them and the names of the underwriters will be set forth in the applicable prospectus supplement, which will be used by the underwriters to make resales of the securities in respect of which this prospectus is delivered to the public. The obligations of underwriters to purchase securities will be subject to certain conditions precedent and the underwriters will be obligated to purchase all of the securities of a series if any are purchased.</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directly solicit offers to purchase the securities and we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6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Underwriters, dealers, agents and other persons may be entitled, under agreements that may be entered into with us, to indemnification against certain civil liabilities, including liabilities under the Securities Act, or to contribution with respect to payments that they may be required to make in respect thereof. Underwriters, dealers and agents may engage in transactions with, or perform services for, us in the ordinary course of business.</w:t>
      </w:r>
    </w:p>
    <w:p>
      <w:pPr>
        <w:spacing w:after="0" w:line="4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specified in connection with the particular offering of any securities, the validity of the securities offered by this prospectus will be passed upon for us by Fried, Frank, Harris, Shriver &amp; Jacobson LLP, New York, New York. Certain matters pertaining to the laws of Colorado, Georgia, Kansas, Missouri, Nevada, Texas and Virginia will be passed upon for us by Polsinelli PC. Certain matters pertaining to the laws of New Hampshire will be passed upon for us by McLane Middleton Professional Association.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T-Mobile US, Inc.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8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The consolidated financial statements of Sprint and subsidiaries incorporated in this prospectus by reference from the Company’s Current Report on Form 8-K filed on May 18, 2020, have been audited by Deloitte &amp; Touche LLP, independent auditors, as set forth in their report (which report expresses an unqualified opinion and includes an explanatory paragraph relating to Sprint’s adoption of Accounting Standard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an emphasis of matter paragraph relating to the acquisition of Sprint by the Company on April 1,</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incorporated by reference herein. Such consolidated financial statements have been so incorporated in reliance upon the report of such firm given upon their authority as experts in accounting and auditing.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or any prospectus supplement and you should not consider it a part of this prospectus or any accompanying prospectus supplement.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Securities Exchange Act of 1934, as amended (the “Exchange Act”), prior to the termination of the offering under this prospectus and any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77" w:lineRule="exact"/>
        <w:rPr>
          <w:sz w:val="20"/>
          <w:szCs w:val="20"/>
          <w:color w:val="auto"/>
        </w:rPr>
      </w:pPr>
    </w:p>
    <w:p>
      <w:pPr>
        <w:jc w:val="both"/>
        <w:ind w:left="1000" w:right="299" w:hanging="348"/>
        <w:spacing w:after="0" w:line="263" w:lineRule="auto"/>
        <w:tabs>
          <w:tab w:leader="none" w:pos="1000" w:val="left"/>
        </w:tabs>
        <w:numPr>
          <w:ilvl w:val="0"/>
          <w:numId w:val="162"/>
        </w:numPr>
        <w:rPr>
          <w:rFonts w:ascii="Arial" w:cs="Arial" w:eastAsia="Arial" w:hAnsi="Arial"/>
          <w:sz w:val="18"/>
          <w:szCs w:val="18"/>
          <w:color w:val="0000EE"/>
        </w:rPr>
      </w:pPr>
      <w:r>
        <w:rPr>
          <w:rFonts w:ascii="Arial" w:cs="Arial" w:eastAsia="Arial" w:hAnsi="Arial"/>
          <w:sz w:val="18"/>
          <w:szCs w:val="18"/>
          <w:color w:val="auto"/>
        </w:rPr>
        <w:t xml:space="preserve">the Company’s Annual Report on Form 10-K for the year ended December 31, 2019 filed with the SEC on </w:t>
      </w:r>
      <w:hyperlink r:id="rId227">
        <w:r>
          <w:rPr>
            <w:rFonts w:ascii="Arial" w:cs="Arial" w:eastAsia="Arial" w:hAnsi="Arial"/>
            <w:sz w:val="18"/>
            <w:szCs w:val="18"/>
            <w:u w:val="single" w:color="auto"/>
            <w:color w:val="0000EE"/>
          </w:rPr>
          <w:t>February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those portions of our Proxy Statement on Schedule 14A filed with the SEC on</w:t>
      </w:r>
      <w:r>
        <w:rPr>
          <w:rFonts w:ascii="Arial" w:cs="Arial" w:eastAsia="Arial" w:hAnsi="Arial"/>
          <w:sz w:val="18"/>
          <w:szCs w:val="18"/>
          <w:color w:val="0000EE"/>
        </w:rPr>
        <w:t xml:space="preserve"> </w:t>
      </w:r>
      <w:hyperlink r:id="rId228">
        <w:r>
          <w:rPr>
            <w:rFonts w:ascii="Arial" w:cs="Arial" w:eastAsia="Arial" w:hAnsi="Arial"/>
            <w:sz w:val="18"/>
            <w:szCs w:val="18"/>
            <w:u w:val="single" w:color="auto"/>
            <w:color w:val="0000EE"/>
          </w:rPr>
          <w:t>April 21, 2020</w:t>
        </w:r>
        <w:r>
          <w:rPr>
            <w:rFonts w:ascii="Arial" w:cs="Arial" w:eastAsia="Arial" w:hAnsi="Arial"/>
            <w:sz w:val="18"/>
            <w:szCs w:val="18"/>
            <w:color w:val="0000EE"/>
          </w:rPr>
          <w:t xml:space="preserve"> </w:t>
        </w:r>
      </w:hyperlink>
      <w:r>
        <w:rPr>
          <w:rFonts w:ascii="Arial" w:cs="Arial" w:eastAsia="Arial" w:hAnsi="Arial"/>
          <w:sz w:val="18"/>
          <w:szCs w:val="18"/>
          <w:color w:val="000000"/>
        </w:rPr>
        <w:t>that</w:t>
      </w:r>
      <w:r>
        <w:rPr>
          <w:rFonts w:ascii="Arial" w:cs="Arial" w:eastAsia="Arial" w:hAnsi="Arial"/>
          <w:sz w:val="18"/>
          <w:szCs w:val="18"/>
          <w:color w:val="0000EE"/>
        </w:rPr>
        <w:t xml:space="preserve"> </w:t>
      </w:r>
      <w:r>
        <w:rPr>
          <w:rFonts w:ascii="Arial" w:cs="Arial" w:eastAsia="Arial" w:hAnsi="Arial"/>
          <w:sz w:val="18"/>
          <w:szCs w:val="18"/>
          <w:color w:val="000000"/>
        </w:rPr>
        <w:t>are incorporated by reference in such Annual Report;</w:t>
      </w:r>
    </w:p>
    <w:p>
      <w:pPr>
        <w:spacing w:after="0" w:line="75"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quarters ended March 31, 2020 and June 30, 2020 filed with the SEC on </w:t>
      </w:r>
      <w:hyperlink r:id="rId229">
        <w:r>
          <w:rPr>
            <w:rFonts w:ascii="Arial" w:cs="Arial" w:eastAsia="Arial" w:hAnsi="Arial"/>
            <w:sz w:val="18"/>
            <w:szCs w:val="18"/>
            <w:u w:val="single" w:color="auto"/>
            <w:color w:val="0000EE"/>
          </w:rPr>
          <w:t>May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30">
        <w:r>
          <w:rPr>
            <w:rFonts w:ascii="Arial" w:cs="Arial" w:eastAsia="Arial" w:hAnsi="Arial"/>
            <w:sz w:val="18"/>
            <w:szCs w:val="18"/>
            <w:u w:val="single" w:color="auto"/>
            <w:color w:val="0000EE"/>
          </w:rPr>
          <w:t>August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Amendment No. 1 to the Quarterly Report on Form 10-Q filed on </w:t>
      </w:r>
      <w:hyperlink r:id="rId231">
        <w:r>
          <w:rPr>
            <w:rFonts w:ascii="Arial" w:cs="Arial" w:eastAsia="Arial" w:hAnsi="Arial"/>
            <w:sz w:val="18"/>
            <w:szCs w:val="18"/>
            <w:u w:val="single" w:color="auto"/>
            <w:color w:val="0000EE"/>
          </w:rPr>
          <w:t>August 10, 2020</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62"/>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 8-K filed with the SEC on </w:t>
      </w:r>
      <w:hyperlink r:id="rId232">
        <w:r>
          <w:rPr>
            <w:rFonts w:ascii="Arial" w:cs="Arial" w:eastAsia="Arial" w:hAnsi="Arial"/>
            <w:sz w:val="18"/>
            <w:szCs w:val="18"/>
            <w:u w:val="single" w:color="auto"/>
            <w:color w:val="0000EE"/>
          </w:rPr>
          <w:t>February 11, 2020</w:t>
        </w:r>
      </w:hyperlink>
      <w:r>
        <w:rPr>
          <w:rFonts w:ascii="Arial" w:cs="Arial" w:eastAsia="Arial" w:hAnsi="Arial"/>
          <w:sz w:val="18"/>
          <w:szCs w:val="18"/>
          <w:color w:val="auto"/>
        </w:rPr>
        <w:t xml:space="preserve">, </w:t>
      </w:r>
      <w:hyperlink r:id="rId233">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w:t>
      </w:r>
      <w:hyperlink r:id="rId234">
        <w:r>
          <w:rPr>
            <w:rFonts w:ascii="Arial" w:cs="Arial" w:eastAsia="Arial" w:hAnsi="Arial"/>
            <w:sz w:val="18"/>
            <w:szCs w:val="18"/>
            <w:u w:val="single" w:color="auto"/>
            <w:color w:val="0000EE"/>
          </w:rPr>
          <w:t>February 20,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5">
        <w:r>
          <w:rPr>
            <w:rFonts w:ascii="Arial" w:cs="Arial" w:eastAsia="Arial" w:hAnsi="Arial"/>
            <w:sz w:val="18"/>
            <w:szCs w:val="18"/>
            <w:u w:val="single" w:color="auto"/>
            <w:color w:val="0000EE"/>
          </w:rPr>
          <w:t>March 12,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6">
        <w:r>
          <w:rPr>
            <w:rFonts w:ascii="Arial" w:cs="Arial" w:eastAsia="Arial" w:hAnsi="Arial"/>
            <w:sz w:val="18"/>
            <w:szCs w:val="18"/>
            <w:u w:val="single" w:color="auto"/>
            <w:color w:val="0000EE"/>
          </w:rPr>
          <w:t>March 19,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7">
        <w:r>
          <w:rPr>
            <w:rFonts w:ascii="Arial" w:cs="Arial" w:eastAsia="Arial" w:hAnsi="Arial"/>
            <w:sz w:val="18"/>
            <w:szCs w:val="18"/>
            <w:u w:val="single" w:color="auto"/>
            <w:color w:val="0000EE"/>
          </w:rPr>
          <w:t>March 25,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8">
        <w:r>
          <w:rPr>
            <w:rFonts w:ascii="Arial" w:cs="Arial" w:eastAsia="Arial" w:hAnsi="Arial"/>
            <w:sz w:val="18"/>
            <w:szCs w:val="18"/>
            <w:u w:val="single" w:color="auto"/>
            <w:color w:val="0000EE"/>
          </w:rPr>
          <w:t xml:space="preserve">April 1,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9:23 a.m. Eastern</w:t>
      </w:r>
      <w:r>
        <w:rPr>
          <w:rFonts w:ascii="Arial" w:cs="Arial" w:eastAsia="Arial" w:hAnsi="Arial"/>
          <w:sz w:val="18"/>
          <w:szCs w:val="18"/>
          <w:color w:val="0000EE"/>
        </w:rPr>
        <w:t xml:space="preserve"> </w:t>
      </w:r>
      <w:r>
        <w:rPr>
          <w:rFonts w:ascii="Arial" w:cs="Arial" w:eastAsia="Arial" w:hAnsi="Arial"/>
          <w:sz w:val="18"/>
          <w:szCs w:val="18"/>
          <w:color w:val="000000"/>
        </w:rPr>
        <w:t xml:space="preserve">time (as amended by the Current Report on Form 8-K/A filed on </w:t>
      </w:r>
      <w:hyperlink r:id="rId239">
        <w:r>
          <w:rPr>
            <w:rFonts w:ascii="Arial" w:cs="Arial" w:eastAsia="Arial" w:hAnsi="Arial"/>
            <w:sz w:val="18"/>
            <w:szCs w:val="18"/>
            <w:u w:val="single" w:color="auto"/>
            <w:color w:val="0000EE"/>
          </w:rPr>
          <w:t>April 17, 2020</w:t>
        </w:r>
      </w:hyperlink>
      <w:r>
        <w:rPr>
          <w:rFonts w:ascii="Arial" w:cs="Arial" w:eastAsia="Arial" w:hAnsi="Arial"/>
          <w:sz w:val="18"/>
          <w:szCs w:val="18"/>
          <w:color w:val="000000"/>
        </w:rPr>
        <w:t xml:space="preserve">), </w:t>
      </w:r>
      <w:hyperlink r:id="rId238">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at 9:40 a.m. Eastern time (excluding all information deemed furnished and not filed other than the sections titled “Risk Factors” and “Recent Developments” in </w:t>
      </w:r>
      <w:hyperlink r:id="rId240">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thereto), </w:t>
      </w:r>
      <w:hyperlink r:id="rId241">
        <w:r>
          <w:rPr>
            <w:rFonts w:ascii="Arial" w:cs="Arial" w:eastAsia="Arial" w:hAnsi="Arial"/>
            <w:sz w:val="18"/>
            <w:szCs w:val="18"/>
            <w:u w:val="single" w:color="auto"/>
            <w:color w:val="0000EE"/>
          </w:rPr>
          <w:t>April 13, 2020</w:t>
        </w:r>
      </w:hyperlink>
      <w:r>
        <w:rPr>
          <w:rFonts w:ascii="Arial" w:cs="Arial" w:eastAsia="Arial" w:hAnsi="Arial"/>
          <w:sz w:val="18"/>
          <w:szCs w:val="18"/>
          <w:color w:val="000000"/>
        </w:rPr>
        <w:t xml:space="preserve">, </w:t>
      </w:r>
      <w:hyperlink r:id="rId242">
        <w:r>
          <w:rPr>
            <w:rFonts w:ascii="Arial" w:cs="Arial" w:eastAsia="Arial" w:hAnsi="Arial"/>
            <w:sz w:val="18"/>
            <w:szCs w:val="18"/>
            <w:u w:val="single" w:color="auto"/>
            <w:color w:val="0000EE"/>
          </w:rPr>
          <w:t>April 16, 2020</w:t>
        </w:r>
      </w:hyperlink>
      <w:r>
        <w:rPr>
          <w:rFonts w:ascii="Arial" w:cs="Arial" w:eastAsia="Arial" w:hAnsi="Arial"/>
          <w:sz w:val="18"/>
          <w:szCs w:val="18"/>
          <w:color w:val="000000"/>
        </w:rPr>
        <w:t xml:space="preserve">, </w:t>
      </w:r>
      <w:hyperlink r:id="rId243">
        <w:r>
          <w:rPr>
            <w:rFonts w:ascii="Arial" w:cs="Arial" w:eastAsia="Arial" w:hAnsi="Arial"/>
            <w:sz w:val="18"/>
            <w:szCs w:val="18"/>
            <w:u w:val="single" w:color="auto"/>
            <w:color w:val="0000EE"/>
          </w:rPr>
          <w:t>April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4">
        <w:r>
          <w:rPr>
            <w:rFonts w:ascii="Arial" w:cs="Arial" w:eastAsia="Arial" w:hAnsi="Arial"/>
            <w:sz w:val="18"/>
            <w:szCs w:val="18"/>
            <w:u w:val="single" w:color="auto"/>
            <w:color w:val="0000EE"/>
          </w:rPr>
          <w:t>May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5">
        <w:r>
          <w:rPr>
            <w:rFonts w:ascii="Arial" w:cs="Arial" w:eastAsia="Arial" w:hAnsi="Arial"/>
            <w:sz w:val="18"/>
            <w:szCs w:val="18"/>
            <w:u w:val="single" w:color="auto"/>
            <w:color w:val="0000EE"/>
          </w:rPr>
          <w:t>June 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6">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4:46 p.m. Eastern time,</w:t>
      </w:r>
      <w:r>
        <w:rPr>
          <w:rFonts w:ascii="Arial" w:cs="Arial" w:eastAsia="Arial" w:hAnsi="Arial"/>
          <w:sz w:val="18"/>
          <w:szCs w:val="18"/>
          <w:color w:val="0000EE"/>
        </w:rPr>
        <w:t xml:space="preserve"> </w:t>
      </w:r>
      <w:hyperlink r:id="rId247">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at</w:t>
      </w:r>
      <w:r>
        <w:rPr>
          <w:rFonts w:ascii="Arial" w:cs="Arial" w:eastAsia="Arial" w:hAnsi="Arial"/>
          <w:sz w:val="18"/>
          <w:szCs w:val="18"/>
          <w:color w:val="0000EE"/>
        </w:rPr>
        <w:t xml:space="preserve"> </w:t>
      </w:r>
      <w:hyperlink r:id="rId248">
        <w:r>
          <w:rPr>
            <w:rFonts w:ascii="Arial" w:cs="Arial" w:eastAsia="Arial" w:hAnsi="Arial"/>
            <w:sz w:val="18"/>
            <w:szCs w:val="18"/>
            <w:color w:val="000000"/>
          </w:rPr>
          <w:t xml:space="preserve">5:04 p.m. Eastern time, </w:t>
        </w:r>
        <w:r>
          <w:rPr>
            <w:rFonts w:ascii="Arial" w:cs="Arial" w:eastAsia="Arial" w:hAnsi="Arial"/>
            <w:sz w:val="18"/>
            <w:szCs w:val="18"/>
            <w:u w:val="single" w:color="auto"/>
            <w:color w:val="0000EE"/>
          </w:rPr>
          <w:t>June 18,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June 22,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June 26, 2020</w:t>
        </w:r>
        <w:r>
          <w:rPr>
            <w:rFonts w:ascii="Arial" w:cs="Arial" w:eastAsia="Arial" w:hAnsi="Arial"/>
            <w:sz w:val="18"/>
            <w:szCs w:val="18"/>
            <w:color w:val="000000"/>
          </w:rPr>
          <w:t xml:space="preserve"> at 4:26 p.m. Eastern time, </w:t>
        </w:r>
        <w:r>
          <w:rPr>
            <w:rFonts w:ascii="Arial" w:cs="Arial" w:eastAsia="Arial" w:hAnsi="Arial"/>
            <w:sz w:val="18"/>
            <w:szCs w:val="18"/>
            <w:u w:val="single" w:color="auto"/>
            <w:color w:val="0000EE"/>
          </w:rPr>
          <w:t>June 26,</w:t>
        </w:r>
      </w:hyperlink>
      <w:r>
        <w:rPr>
          <w:rFonts w:ascii="Arial" w:cs="Arial" w:eastAsia="Arial" w:hAnsi="Arial"/>
          <w:sz w:val="18"/>
          <w:szCs w:val="18"/>
          <w:color w:val="000000"/>
        </w:rPr>
        <w:t xml:space="preserve"> </w:t>
      </w:r>
      <w:hyperlink r:id="rId248">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at 4:34 p.m. Eastern time,</w:t>
        </w:r>
        <w:r>
          <w:rPr>
            <w:rFonts w:ascii="Arial" w:cs="Arial" w:eastAsia="Arial" w:hAnsi="Arial"/>
            <w:sz w:val="18"/>
            <w:szCs w:val="18"/>
            <w:color w:val="0000EE"/>
          </w:rPr>
          <w:t xml:space="preserve"> </w:t>
        </w:r>
      </w:hyperlink>
      <w:hyperlink r:id="rId249">
        <w:r>
          <w:rPr>
            <w:rFonts w:ascii="Arial" w:cs="Arial" w:eastAsia="Arial" w:hAnsi="Arial"/>
            <w:sz w:val="18"/>
            <w:szCs w:val="18"/>
            <w:u w:val="single" w:color="auto"/>
            <w:color w:val="0000EE"/>
          </w:rPr>
          <w:t>July 1, 2020</w:t>
        </w:r>
      </w:hyperlink>
      <w:hyperlink r:id="rId2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0">
        <w:r>
          <w:rPr>
            <w:rFonts w:ascii="Arial" w:cs="Arial" w:eastAsia="Arial" w:hAnsi="Arial"/>
            <w:sz w:val="18"/>
            <w:szCs w:val="18"/>
            <w:u w:val="single" w:color="auto"/>
            <w:color w:val="0000EE"/>
          </w:rPr>
          <w:t>July 28, 2020</w:t>
        </w:r>
      </w:hyperlink>
      <w:hyperlink r:id="rId2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1">
        <w:r>
          <w:rPr>
            <w:rFonts w:ascii="Arial" w:cs="Arial" w:eastAsia="Arial" w:hAnsi="Arial"/>
            <w:sz w:val="18"/>
            <w:szCs w:val="18"/>
            <w:u w:val="single" w:color="auto"/>
            <w:color w:val="0000EE"/>
          </w:rPr>
          <w:t>August 4, 2020</w:t>
        </w:r>
      </w:hyperlink>
      <w:hyperlink r:id="rId24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2">
        <w:r>
          <w:rPr>
            <w:rFonts w:ascii="Arial" w:cs="Arial" w:eastAsia="Arial" w:hAnsi="Arial"/>
            <w:sz w:val="18"/>
            <w:szCs w:val="18"/>
            <w:u w:val="single" w:color="auto"/>
            <w:color w:val="0000EE"/>
          </w:rPr>
          <w:t xml:space="preserve">September 17, 2020 </w:t>
        </w:r>
      </w:hyperlink>
      <w:hyperlink r:id="rId248">
        <w:r>
          <w:rPr>
            <w:rFonts w:ascii="Arial" w:cs="Arial" w:eastAsia="Arial" w:hAnsi="Arial"/>
            <w:sz w:val="18"/>
            <w:szCs w:val="18"/>
            <w:color w:val="000000"/>
          </w:rPr>
          <w:t>and</w:t>
        </w:r>
      </w:hyperlink>
      <w:r>
        <w:rPr>
          <w:rFonts w:ascii="Arial" w:cs="Arial" w:eastAsia="Arial" w:hAnsi="Arial"/>
          <w:sz w:val="18"/>
          <w:szCs w:val="18"/>
          <w:color w:val="0000EE"/>
        </w:rPr>
        <w:t xml:space="preserve"> </w:t>
      </w:r>
      <w:hyperlink r:id="rId253">
        <w:r>
          <w:rPr>
            <w:rFonts w:ascii="Arial" w:cs="Arial" w:eastAsia="Arial" w:hAnsi="Arial"/>
            <w:sz w:val="18"/>
            <w:szCs w:val="18"/>
            <w:u w:val="single" w:color="auto"/>
            <w:color w:val="0000EE"/>
          </w:rPr>
          <w:t>September 18, 2020</w:t>
        </w:r>
      </w:hyperlink>
      <w:r>
        <w:rPr>
          <w:rFonts w:ascii="Arial" w:cs="Arial" w:eastAsia="Arial" w:hAnsi="Arial"/>
          <w:sz w:val="18"/>
          <w:szCs w:val="18"/>
          <w:color w:val="000000"/>
        </w:rPr>
        <w:t>.</w:t>
      </w:r>
    </w:p>
    <w:p>
      <w:pPr>
        <w:spacing w:after="0" w:line="88" w:lineRule="exact"/>
        <w:rPr>
          <w:rFonts w:ascii="Arial" w:cs="Arial" w:eastAsia="Arial" w:hAnsi="Arial"/>
          <w:sz w:val="18"/>
          <w:szCs w:val="18"/>
          <w:color w:val="0000EE"/>
        </w:rPr>
      </w:pPr>
    </w:p>
    <w:p>
      <w:pPr>
        <w:jc w:val="both"/>
        <w:ind w:left="300" w:right="319" w:firstLine="36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 financial statements of Sprint and subsidiaries included in our Current Report on Form 8-K/A filed on </w:t>
      </w:r>
      <w:hyperlink r:id="rId239">
        <w:r>
          <w:rPr>
            <w:rFonts w:ascii="Arial" w:cs="Arial" w:eastAsia="Arial" w:hAnsi="Arial"/>
            <w:sz w:val="17"/>
            <w:szCs w:val="17"/>
            <w:u w:val="single" w:color="auto"/>
            <w:color w:val="0000EE"/>
          </w:rPr>
          <w:t>April 17, 2020</w:t>
        </w:r>
        <w:r>
          <w:rPr>
            <w:rFonts w:ascii="Arial" w:cs="Arial" w:eastAsia="Arial" w:hAnsi="Arial"/>
            <w:sz w:val="17"/>
            <w:szCs w:val="17"/>
            <w:color w:val="0000EE"/>
          </w:rPr>
          <w:t xml:space="preserve"> </w:t>
        </w:r>
      </w:hyperlink>
      <w:r>
        <w:rPr>
          <w:rFonts w:ascii="Arial" w:cs="Arial" w:eastAsia="Arial" w:hAnsi="Arial"/>
          <w:sz w:val="17"/>
          <w:szCs w:val="17"/>
          <w:color w:val="000000"/>
        </w:rPr>
        <w:t>have</w:t>
      </w:r>
      <w:r>
        <w:rPr>
          <w:rFonts w:ascii="Arial" w:cs="Arial" w:eastAsia="Arial" w:hAnsi="Arial"/>
          <w:sz w:val="17"/>
          <w:szCs w:val="17"/>
          <w:color w:val="0000EE"/>
        </w:rPr>
        <w:t xml:space="preserve"> </w:t>
      </w:r>
      <w:r>
        <w:rPr>
          <w:rFonts w:ascii="Arial" w:cs="Arial" w:eastAsia="Arial" w:hAnsi="Arial"/>
          <w:sz w:val="17"/>
          <w:szCs w:val="17"/>
          <w:color w:val="000000"/>
        </w:rPr>
        <w:t>been superseded by the financial statements in our Current Report on Form 8-K filed on</w:t>
      </w:r>
      <w:r>
        <w:rPr>
          <w:rFonts w:ascii="Arial" w:cs="Arial" w:eastAsia="Arial" w:hAnsi="Arial"/>
          <w:sz w:val="17"/>
          <w:szCs w:val="17"/>
          <w:color w:val="0000EE"/>
        </w:rPr>
        <w:t xml:space="preserve"> </w:t>
      </w:r>
      <w:hyperlink r:id="rId244">
        <w:r>
          <w:rPr>
            <w:rFonts w:ascii="Arial" w:cs="Arial" w:eastAsia="Arial" w:hAnsi="Arial"/>
            <w:sz w:val="17"/>
            <w:szCs w:val="17"/>
            <w:u w:val="single" w:color="auto"/>
            <w:color w:val="0000EE"/>
          </w:rPr>
          <w:t>May 18, 2020</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r>
        <w:rPr>
          <w:rFonts w:ascii="Arial" w:cs="Arial" w:eastAsia="Arial" w:hAnsi="Arial"/>
          <w:sz w:val="17"/>
          <w:szCs w:val="17"/>
          <w:color w:val="000000"/>
        </w:rPr>
        <w:t>therefore Deloitte &amp; Touche LLP has not reissued their opinion included in the prior filing.</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A. Miller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T-Mobile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12920 SE 38th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Bellevue, Washington 98006</w:t>
      </w:r>
    </w:p>
    <w:p>
      <w:pPr>
        <w:spacing w:after="0" w:line="9" w:lineRule="exact"/>
        <w:rPr>
          <w:sz w:val="20"/>
          <w:szCs w:val="20"/>
          <w:color w:val="auto"/>
        </w:rPr>
      </w:pPr>
    </w:p>
    <w:p>
      <w:pPr>
        <w:ind w:left="4380" w:hanging="438"/>
        <w:spacing w:after="0"/>
        <w:tabs>
          <w:tab w:leader="none" w:pos="43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383-4000</w:t>
      </w:r>
    </w:p>
    <w:p>
      <w:pPr>
        <w:spacing w:after="0" w:line="21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603504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654685</wp:posOffset>
            </wp:positionV>
            <wp:extent cx="1474470" cy="308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2300" w:right="2300"/>
        <w:spacing w:after="0" w:line="317" w:lineRule="auto"/>
        <w:rPr>
          <w:sz w:val="20"/>
          <w:szCs w:val="20"/>
          <w:color w:val="auto"/>
        </w:rPr>
      </w:pPr>
      <w:r>
        <w:rPr>
          <w:rFonts w:ascii="Arial" w:cs="Arial" w:eastAsia="Arial" w:hAnsi="Arial"/>
          <w:sz w:val="22"/>
          <w:szCs w:val="22"/>
          <w:b w:val="1"/>
          <w:bCs w:val="1"/>
          <w:color w:val="auto"/>
        </w:rPr>
        <w:t>$1,200,000,000 2.625% Senior Notes due 2026 $1,250,000,000 3.375% Senior Notes due 2029 $1,350,000,000 3.500% Senior Notes due 2031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760" w:type="dxa"/>
            <w:vAlign w:val="bottom"/>
          </w:tcPr>
          <w:p>
            <w:pPr>
              <w:spacing w:after="0"/>
              <w:rPr>
                <w:sz w:val="20"/>
                <w:szCs w:val="20"/>
                <w:color w:val="auto"/>
              </w:rPr>
            </w:pPr>
            <w:r>
              <w:rPr>
                <w:rFonts w:ascii="Arial" w:cs="Arial" w:eastAsia="Arial" w:hAnsi="Arial"/>
                <w:sz w:val="22"/>
                <w:szCs w:val="22"/>
                <w:b w:val="1"/>
                <w:bCs w:val="1"/>
                <w:color w:val="auto"/>
              </w:rPr>
              <w:t>Credit Suisse</w:t>
            </w:r>
          </w:p>
        </w:tc>
        <w:tc>
          <w:tcPr>
            <w:tcW w:w="1780" w:type="dxa"/>
            <w:vAlign w:val="bottom"/>
          </w:tcPr>
          <w:p>
            <w:pPr>
              <w:jc w:val="center"/>
              <w:ind w:left="212"/>
              <w:spacing w:after="0"/>
              <w:rPr>
                <w:sz w:val="20"/>
                <w:szCs w:val="20"/>
                <w:color w:val="auto"/>
              </w:rPr>
            </w:pPr>
            <w:r>
              <w:rPr>
                <w:rFonts w:ascii="Arial" w:cs="Arial" w:eastAsia="Arial" w:hAnsi="Arial"/>
                <w:sz w:val="22"/>
                <w:szCs w:val="22"/>
                <w:b w:val="1"/>
                <w:bCs w:val="1"/>
                <w:color w:val="auto"/>
                <w:w w:val="92"/>
              </w:rPr>
              <w:t>Citigroup</w:t>
            </w:r>
          </w:p>
        </w:tc>
        <w:tc>
          <w:tcPr>
            <w:tcW w:w="220" w:type="dxa"/>
            <w:vAlign w:val="bottom"/>
          </w:tcPr>
          <w:p>
            <w:pPr>
              <w:spacing w:after="0"/>
              <w:rPr>
                <w:sz w:val="24"/>
                <w:szCs w:val="24"/>
                <w:color w:val="auto"/>
              </w:rPr>
            </w:pPr>
          </w:p>
        </w:tc>
        <w:tc>
          <w:tcPr>
            <w:tcW w:w="3000" w:type="dxa"/>
            <w:vAlign w:val="bottom"/>
          </w:tcPr>
          <w:p>
            <w:pPr>
              <w:jc w:val="center"/>
              <w:ind w:left="155"/>
              <w:spacing w:after="0"/>
              <w:rPr>
                <w:sz w:val="20"/>
                <w:szCs w:val="20"/>
                <w:color w:val="auto"/>
              </w:rPr>
            </w:pPr>
            <w:r>
              <w:rPr>
                <w:rFonts w:ascii="Arial" w:cs="Arial" w:eastAsia="Arial" w:hAnsi="Arial"/>
                <w:sz w:val="22"/>
                <w:szCs w:val="22"/>
                <w:b w:val="1"/>
                <w:bCs w:val="1"/>
                <w:color w:val="auto"/>
                <w:w w:val="86"/>
              </w:rPr>
              <w:t>Deutsche Bank Securities</w:t>
            </w:r>
          </w:p>
        </w:tc>
        <w:tc>
          <w:tcPr>
            <w:tcW w:w="2740" w:type="dxa"/>
            <w:vAlign w:val="bottom"/>
            <w:gridSpan w:val="2"/>
          </w:tcPr>
          <w:p>
            <w:pPr>
              <w:jc w:val="right"/>
              <w:spacing w:after="0"/>
              <w:rPr>
                <w:sz w:val="20"/>
                <w:szCs w:val="20"/>
                <w:color w:val="auto"/>
              </w:rPr>
            </w:pPr>
            <w:r>
              <w:rPr>
                <w:rFonts w:ascii="Arial" w:cs="Arial" w:eastAsia="Arial" w:hAnsi="Arial"/>
                <w:sz w:val="22"/>
                <w:szCs w:val="22"/>
                <w:b w:val="1"/>
                <w:bCs w:val="1"/>
                <w:color w:val="auto"/>
                <w:w w:val="97"/>
              </w:rPr>
              <w:t>Goldman Sachs &amp; Co. LLC</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780" w:type="dxa"/>
            <w:vAlign w:val="bottom"/>
          </w:tcPr>
          <w:p>
            <w:pPr>
              <w:jc w:val="center"/>
              <w:ind w:left="192"/>
              <w:spacing w:after="0"/>
              <w:rPr>
                <w:sz w:val="20"/>
                <w:szCs w:val="20"/>
                <w:color w:val="auto"/>
              </w:rPr>
            </w:pPr>
            <w:r>
              <w:rPr>
                <w:rFonts w:ascii="Arial" w:cs="Arial" w:eastAsia="Arial" w:hAnsi="Arial"/>
                <w:sz w:val="22"/>
                <w:szCs w:val="22"/>
                <w:b w:val="1"/>
                <w:bCs w:val="1"/>
                <w:color w:val="auto"/>
                <w:w w:val="89"/>
              </w:rPr>
              <w:t>J.P. Morgan</w:t>
            </w:r>
          </w:p>
        </w:tc>
        <w:tc>
          <w:tcPr>
            <w:tcW w:w="220" w:type="dxa"/>
            <w:vAlign w:val="bottom"/>
          </w:tcPr>
          <w:p>
            <w:pPr>
              <w:spacing w:after="0"/>
              <w:rPr>
                <w:sz w:val="24"/>
                <w:szCs w:val="24"/>
                <w:color w:val="auto"/>
              </w:rPr>
            </w:pPr>
          </w:p>
        </w:tc>
        <w:tc>
          <w:tcPr>
            <w:tcW w:w="3000" w:type="dxa"/>
            <w:vAlign w:val="bottom"/>
          </w:tcPr>
          <w:p>
            <w:pPr>
              <w:jc w:val="center"/>
              <w:ind w:left="135"/>
              <w:spacing w:after="0"/>
              <w:rPr>
                <w:sz w:val="20"/>
                <w:szCs w:val="20"/>
                <w:color w:val="auto"/>
              </w:rPr>
            </w:pPr>
            <w:r>
              <w:rPr>
                <w:rFonts w:ascii="Arial" w:cs="Arial" w:eastAsia="Arial" w:hAnsi="Arial"/>
                <w:sz w:val="22"/>
                <w:szCs w:val="22"/>
                <w:b w:val="1"/>
                <w:bCs w:val="1"/>
                <w:color w:val="auto"/>
                <w:w w:val="90"/>
              </w:rPr>
              <w:t>Morgan Stanley</w:t>
            </w:r>
          </w:p>
        </w:tc>
        <w:tc>
          <w:tcPr>
            <w:tcW w:w="2740" w:type="dxa"/>
            <w:vAlign w:val="bottom"/>
            <w:gridSpan w:val="2"/>
          </w:tcPr>
          <w:p>
            <w:pPr>
              <w:jc w:val="right"/>
              <w:spacing w:after="0"/>
              <w:rPr>
                <w:sz w:val="20"/>
                <w:szCs w:val="20"/>
                <w:color w:val="auto"/>
              </w:rPr>
            </w:pPr>
            <w:r>
              <w:rPr>
                <w:rFonts w:ascii="Arial" w:cs="Arial" w:eastAsia="Arial" w:hAnsi="Arial"/>
                <w:sz w:val="22"/>
                <w:szCs w:val="22"/>
                <w:b w:val="1"/>
                <w:bCs w:val="1"/>
                <w:color w:val="auto"/>
              </w:rPr>
              <w:t>RBC Capital Markets</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color w:val="auto"/>
              </w:rPr>
              <w:t>BNP PARIBAS</w:t>
            </w:r>
          </w:p>
        </w:tc>
        <w:tc>
          <w:tcPr>
            <w:tcW w:w="2000" w:type="dxa"/>
            <w:vAlign w:val="bottom"/>
            <w:gridSpan w:val="2"/>
          </w:tcPr>
          <w:p>
            <w:pPr>
              <w:jc w:val="center"/>
              <w:spacing w:after="0"/>
              <w:rPr>
                <w:sz w:val="20"/>
                <w:szCs w:val="20"/>
                <w:color w:val="auto"/>
              </w:rPr>
            </w:pPr>
            <w:r>
              <w:rPr>
                <w:rFonts w:ascii="Arial" w:cs="Arial" w:eastAsia="Arial" w:hAnsi="Arial"/>
                <w:sz w:val="22"/>
                <w:szCs w:val="22"/>
                <w:b w:val="1"/>
                <w:bCs w:val="1"/>
                <w:color w:val="auto"/>
              </w:rPr>
              <w:t>COMMERZBANK</w:t>
            </w:r>
          </w:p>
        </w:tc>
        <w:tc>
          <w:tcPr>
            <w:tcW w:w="3000" w:type="dxa"/>
            <w:vAlign w:val="bottom"/>
          </w:tcPr>
          <w:p>
            <w:pPr>
              <w:jc w:val="center"/>
              <w:ind w:left="155"/>
              <w:spacing w:after="0"/>
              <w:rPr>
                <w:sz w:val="20"/>
                <w:szCs w:val="20"/>
                <w:color w:val="auto"/>
              </w:rPr>
            </w:pPr>
            <w:r>
              <w:rPr>
                <w:rFonts w:ascii="Arial" w:cs="Arial" w:eastAsia="Arial" w:hAnsi="Arial"/>
                <w:sz w:val="22"/>
                <w:szCs w:val="22"/>
                <w:b w:val="1"/>
                <w:bCs w:val="1"/>
                <w:color w:val="auto"/>
                <w:w w:val="92"/>
              </w:rPr>
              <w:t>Credit Agricole CIB</w:t>
            </w:r>
          </w:p>
        </w:tc>
        <w:tc>
          <w:tcPr>
            <w:tcW w:w="10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b w:val="1"/>
                <w:bCs w:val="1"/>
                <w:color w:val="auto"/>
                <w:w w:val="91"/>
              </w:rPr>
              <w:t>Mizuho Securities</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color w:val="auto"/>
              </w:rPr>
              <w:t>MUFG</w:t>
            </w:r>
          </w:p>
        </w:tc>
        <w:tc>
          <w:tcPr>
            <w:tcW w:w="1780" w:type="dxa"/>
            <w:vAlign w:val="bottom"/>
          </w:tcPr>
          <w:p>
            <w:pPr>
              <w:jc w:val="center"/>
              <w:ind w:left="192"/>
              <w:spacing w:after="0"/>
              <w:rPr>
                <w:sz w:val="20"/>
                <w:szCs w:val="20"/>
                <w:color w:val="auto"/>
              </w:rPr>
            </w:pPr>
            <w:r>
              <w:rPr>
                <w:rFonts w:ascii="Arial" w:cs="Arial" w:eastAsia="Arial" w:hAnsi="Arial"/>
                <w:sz w:val="22"/>
                <w:szCs w:val="22"/>
                <w:b w:val="1"/>
                <w:bCs w:val="1"/>
                <w:color w:val="auto"/>
                <w:w w:val="94"/>
              </w:rPr>
              <w:t>SMBC Nikko</w:t>
            </w:r>
          </w:p>
        </w:tc>
        <w:tc>
          <w:tcPr>
            <w:tcW w:w="220" w:type="dxa"/>
            <w:vAlign w:val="bottom"/>
          </w:tcPr>
          <w:p>
            <w:pPr>
              <w:spacing w:after="0"/>
              <w:rPr>
                <w:sz w:val="24"/>
                <w:szCs w:val="24"/>
                <w:color w:val="auto"/>
              </w:rPr>
            </w:pPr>
          </w:p>
        </w:tc>
        <w:tc>
          <w:tcPr>
            <w:tcW w:w="3000" w:type="dxa"/>
            <w:vAlign w:val="bottom"/>
          </w:tcPr>
          <w:p>
            <w:pPr>
              <w:jc w:val="center"/>
              <w:ind w:left="155"/>
              <w:spacing w:after="0"/>
              <w:rPr>
                <w:sz w:val="20"/>
                <w:szCs w:val="20"/>
                <w:color w:val="auto"/>
              </w:rPr>
            </w:pPr>
            <w:r>
              <w:rPr>
                <w:rFonts w:ascii="Arial" w:cs="Arial" w:eastAsia="Arial" w:hAnsi="Arial"/>
                <w:sz w:val="22"/>
                <w:szCs w:val="22"/>
                <w:b w:val="1"/>
                <w:bCs w:val="1"/>
                <w:color w:val="auto"/>
                <w:w w:val="89"/>
              </w:rPr>
              <w:t>TD Securities</w:t>
            </w:r>
          </w:p>
        </w:tc>
        <w:tc>
          <w:tcPr>
            <w:tcW w:w="2740" w:type="dxa"/>
            <w:vAlign w:val="bottom"/>
            <w:gridSpan w:val="2"/>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381"/>
        </w:trPr>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tcPr>
          <w:p>
            <w:pPr>
              <w:jc w:val="center"/>
              <w:ind w:right="915"/>
              <w:spacing w:after="0"/>
              <w:rPr>
                <w:sz w:val="20"/>
                <w:szCs w:val="20"/>
                <w:color w:val="auto"/>
              </w:rPr>
            </w:pPr>
            <w:r>
              <w:rPr>
                <w:rFonts w:ascii="Arial" w:cs="Arial" w:eastAsia="Arial" w:hAnsi="Arial"/>
                <w:sz w:val="18"/>
                <w:szCs w:val="18"/>
                <w:b w:val="1"/>
                <w:bCs w:val="1"/>
                <w:i w:val="1"/>
                <w:iCs w:val="1"/>
                <w:color w:val="auto"/>
                <w:w w:val="89"/>
              </w:rPr>
              <w:t>Co-Managers</w:t>
            </w: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8"/>
        </w:trPr>
        <w:tc>
          <w:tcPr>
            <w:tcW w:w="1760" w:type="dxa"/>
            <w:vAlign w:val="bottom"/>
          </w:tcPr>
          <w:p>
            <w:pPr>
              <w:spacing w:after="0"/>
              <w:rPr>
                <w:sz w:val="20"/>
                <w:szCs w:val="20"/>
                <w:color w:val="auto"/>
              </w:rPr>
            </w:pPr>
            <w:r>
              <w:rPr>
                <w:rFonts w:ascii="Arial" w:cs="Arial" w:eastAsia="Arial" w:hAnsi="Arial"/>
                <w:sz w:val="22"/>
                <w:szCs w:val="22"/>
                <w:b w:val="1"/>
                <w:bCs w:val="1"/>
                <w:color w:val="auto"/>
                <w:w w:val="98"/>
              </w:rPr>
              <w:t>NatWest Markets</w:t>
            </w:r>
          </w:p>
        </w:tc>
        <w:tc>
          <w:tcPr>
            <w:tcW w:w="1780" w:type="dxa"/>
            <w:vAlign w:val="bottom"/>
          </w:tcPr>
          <w:p>
            <w:pPr>
              <w:ind w:left="360"/>
              <w:spacing w:after="0"/>
              <w:rPr>
                <w:sz w:val="20"/>
                <w:szCs w:val="20"/>
                <w:color w:val="auto"/>
              </w:rPr>
            </w:pPr>
            <w:r>
              <w:rPr>
                <w:rFonts w:ascii="Arial" w:cs="Arial" w:eastAsia="Arial" w:hAnsi="Arial"/>
                <w:sz w:val="22"/>
                <w:szCs w:val="22"/>
                <w:b w:val="1"/>
                <w:bCs w:val="1"/>
                <w:color w:val="auto"/>
              </w:rPr>
              <w:t>Santander</w:t>
            </w:r>
          </w:p>
        </w:tc>
        <w:tc>
          <w:tcPr>
            <w:tcW w:w="4220" w:type="dxa"/>
            <w:vAlign w:val="bottom"/>
            <w:gridSpan w:val="3"/>
          </w:tcPr>
          <w:p>
            <w:pPr>
              <w:ind w:left="100"/>
              <w:spacing w:after="0"/>
              <w:rPr>
                <w:sz w:val="20"/>
                <w:szCs w:val="20"/>
                <w:color w:val="auto"/>
              </w:rPr>
            </w:pPr>
            <w:r>
              <w:rPr>
                <w:rFonts w:ascii="Arial" w:cs="Arial" w:eastAsia="Arial" w:hAnsi="Arial"/>
                <w:sz w:val="22"/>
                <w:szCs w:val="22"/>
                <w:b w:val="1"/>
                <w:bCs w:val="1"/>
                <w:color w:val="auto"/>
                <w:w w:val="98"/>
              </w:rPr>
              <w:t>SOCIETE GENERALE   Truist Securities</w:t>
            </w:r>
          </w:p>
        </w:tc>
        <w:tc>
          <w:tcPr>
            <w:tcW w:w="1740" w:type="dxa"/>
            <w:vAlign w:val="bottom"/>
          </w:tcPr>
          <w:p>
            <w:pPr>
              <w:jc w:val="right"/>
              <w:spacing w:after="0"/>
              <w:rPr>
                <w:sz w:val="20"/>
                <w:szCs w:val="20"/>
                <w:color w:val="auto"/>
              </w:rPr>
            </w:pPr>
            <w:r>
              <w:rPr>
                <w:rFonts w:ascii="Arial" w:cs="Arial" w:eastAsia="Arial" w:hAnsi="Arial"/>
                <w:sz w:val="22"/>
                <w:szCs w:val="22"/>
                <w:b w:val="1"/>
                <w:bCs w:val="1"/>
                <w:color w:val="auto"/>
              </w:rPr>
              <w:t>US Bancorp</w:t>
            </w:r>
          </w:p>
        </w:tc>
      </w:tr>
      <w:tr>
        <w:trPr>
          <w:trHeight w:val="297"/>
        </w:trPr>
        <w:tc>
          <w:tcPr>
            <w:tcW w:w="3540" w:type="dxa"/>
            <w:vAlign w:val="bottom"/>
            <w:gridSpan w:val="2"/>
          </w:tcPr>
          <w:p>
            <w:pPr>
              <w:spacing w:after="0"/>
              <w:rPr>
                <w:sz w:val="20"/>
                <w:szCs w:val="20"/>
                <w:color w:val="auto"/>
              </w:rPr>
            </w:pPr>
            <w:r>
              <w:rPr>
                <w:rFonts w:ascii="Arial" w:cs="Arial" w:eastAsia="Arial" w:hAnsi="Arial"/>
                <w:sz w:val="22"/>
                <w:szCs w:val="22"/>
                <w:b w:val="1"/>
                <w:bCs w:val="1"/>
                <w:color w:val="auto"/>
              </w:rPr>
              <w:t>CastleOak Securities, L.P.</w:t>
            </w:r>
          </w:p>
        </w:tc>
        <w:tc>
          <w:tcPr>
            <w:tcW w:w="220" w:type="dxa"/>
            <w:vAlign w:val="bottom"/>
          </w:tcPr>
          <w:p>
            <w:pPr>
              <w:spacing w:after="0"/>
              <w:rPr>
                <w:sz w:val="24"/>
                <w:szCs w:val="24"/>
                <w:color w:val="auto"/>
              </w:rPr>
            </w:pPr>
          </w:p>
        </w:tc>
        <w:tc>
          <w:tcPr>
            <w:tcW w:w="3000" w:type="dxa"/>
            <w:vAlign w:val="bottom"/>
          </w:tcPr>
          <w:p>
            <w:pPr>
              <w:jc w:val="center"/>
              <w:ind w:right="915"/>
              <w:spacing w:after="0"/>
              <w:rPr>
                <w:sz w:val="20"/>
                <w:szCs w:val="20"/>
                <w:color w:val="auto"/>
              </w:rPr>
            </w:pPr>
            <w:r>
              <w:rPr>
                <w:rFonts w:ascii="Arial" w:cs="Arial" w:eastAsia="Arial" w:hAnsi="Arial"/>
                <w:sz w:val="22"/>
                <w:szCs w:val="22"/>
                <w:b w:val="1"/>
                <w:bCs w:val="1"/>
                <w:color w:val="auto"/>
                <w:w w:val="90"/>
              </w:rPr>
              <w:t>MFR Securities, Inc.</w:t>
            </w:r>
          </w:p>
        </w:tc>
        <w:tc>
          <w:tcPr>
            <w:tcW w:w="2740" w:type="dxa"/>
            <w:vAlign w:val="bottom"/>
            <w:gridSpan w:val="2"/>
          </w:tcPr>
          <w:p>
            <w:pPr>
              <w:jc w:val="right"/>
              <w:spacing w:after="0"/>
              <w:rPr>
                <w:sz w:val="20"/>
                <w:szCs w:val="20"/>
                <w:color w:val="auto"/>
              </w:rPr>
            </w:pPr>
            <w:r>
              <w:rPr>
                <w:rFonts w:ascii="Arial" w:cs="Arial" w:eastAsia="Arial" w:hAnsi="Arial"/>
                <w:sz w:val="22"/>
                <w:szCs w:val="22"/>
                <w:b w:val="1"/>
                <w:bCs w:val="1"/>
                <w:color w:val="auto"/>
                <w:w w:val="99"/>
              </w:rPr>
              <w:t>Multi-Bank Securities, Inc.</w:t>
            </w: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1675130</wp:posOffset>
            </wp:positionV>
            <wp:extent cx="60350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1726565</wp:posOffset>
            </wp:positionV>
            <wp:extent cx="603504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sectPr>
      <w:pgSz w:w="11900" w:h="16838" w:orient="portrait"/>
      <w:cols w:equalWidth="0" w:num="1">
        <w:col w:w="9500"/>
      </w:cols>
      <w:pgMar w:left="1200" w:top="265"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decimal"/>
      <w:start w:val="1"/>
    </w:lvl>
  </w:abstractNum>
  <w:abstractNum w:abstractNumId="1">
    <w:nsid w:val="7FFFCA11"/>
    <w:multiLevelType w:val="hybridMultilevel"/>
    <w:lvl w:ilvl="0">
      <w:lvlJc w:val="left"/>
      <w:lvlText w:val="(%1)"/>
      <w:numFmt w:val="decimal"/>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1)"/>
      <w:numFmt w:val="decimal"/>
      <w:start w:val="1"/>
    </w:lvl>
  </w:abstractNum>
  <w:abstractNum w:abstractNumId="5">
    <w:nsid w:val="7FB7E0AA"/>
    <w:multiLevelType w:val="hybridMultilevel"/>
    <w:lvl w:ilvl="0">
      <w:lvlJc w:val="left"/>
      <w:lvlText w:val="(%1)"/>
      <w:numFmt w:val="decimal"/>
      <w:start w:val="1"/>
    </w:lvl>
  </w:abstractNum>
  <w:abstractNum w:abstractNumId="6">
    <w:nsid w:val="6EB5BD4"/>
    <w:multiLevelType w:val="hybridMultilevel"/>
    <w:lvl w:ilvl="0">
      <w:lvlJc w:val="left"/>
      <w:lvlText w:val="%1"/>
      <w:numFmt w:val="decimal"/>
      <w:start w:val="1"/>
    </w:lvl>
    <w:lvl w:ilvl="1">
      <w:lvlJc w:val="left"/>
      <w:lvlText w:val="(%2)"/>
      <w:numFmt w:val="lowerLetter"/>
      <w:start w:val="1"/>
    </w:lvl>
  </w:abstractNum>
  <w:abstractNum w:abstractNumId="7">
    <w:nsid w:val="6F6DD9AC"/>
    <w:multiLevelType w:val="hybridMultilevel"/>
    <w:lvl w:ilvl="0">
      <w:lvlJc w:val="left"/>
      <w:lvlText w:val="(%1)"/>
      <w:numFmt w:val="decimal"/>
      <w:start w:val="4"/>
    </w:lvl>
    <w:lvl w:ilvl="1">
      <w:lvlJc w:val="left"/>
      <w:lvlText w:val="%2"/>
      <w:numFmt w:val="lowerLetter"/>
      <w:start w:val="1"/>
    </w:lvl>
  </w:abstractNum>
  <w:abstractNum w:abstractNumId="8">
    <w:nsid w:val="94211F2"/>
    <w:multiLevelType w:val="hybridMultilevel"/>
    <w:lvl w:ilvl="0">
      <w:lvlJc w:val="left"/>
      <w:lvlText w:val="(%1)"/>
      <w:numFmt w:val="decimal"/>
      <w:start w:val="8"/>
    </w:lvl>
  </w:abstractNum>
  <w:abstractNum w:abstractNumId="9">
    <w:nsid w:val="885E1B"/>
    <w:multiLevelType w:val="hybridMultilevel"/>
    <w:lvl w:ilvl="0">
      <w:lvlJc w:val="left"/>
      <w:lvlText w:val="(%1)"/>
      <w:numFmt w:val="decimal"/>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lvl w:ilvl="1">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1)"/>
      <w:numFmt w:val="decimal"/>
      <w:start w:val="1"/>
    </w:lvl>
  </w:abstractNum>
  <w:abstractNum w:abstractNumId="19">
    <w:nsid w:val="4A2AC315"/>
    <w:multiLevelType w:val="hybridMultilevel"/>
    <w:lvl w:ilvl="0">
      <w:lvlJc w:val="left"/>
      <w:lvlText w:val="(%1)"/>
      <w:numFmt w:val="decimal"/>
      <w:start w:val="1"/>
    </w:lvl>
  </w:abstractNum>
  <w:abstractNum w:abstractNumId="20">
    <w:nsid w:val="39EE015C"/>
    <w:multiLevelType w:val="hybridMultilevel"/>
    <w:lvl w:ilvl="0">
      <w:lvlJc w:val="left"/>
      <w:lvlText w:val="(%1)"/>
      <w:numFmt w:val="decimal"/>
      <w:start w:val="1"/>
    </w:lvl>
  </w:abstractNum>
  <w:abstractNum w:abstractNumId="21">
    <w:nsid w:val="57FC4FBB"/>
    <w:multiLevelType w:val="hybridMultilevel"/>
    <w:lvl w:ilvl="0">
      <w:lvlJc w:val="left"/>
      <w:lvlText w:val="(%1)"/>
      <w:numFmt w:val="decimal"/>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1)"/>
      <w:numFmt w:val="decimal"/>
      <w:start w:val="1"/>
    </w:lvl>
    <w:lvl w:ilvl="1">
      <w:lvlJc w:val="left"/>
      <w:lvlText w:val="(%2)"/>
      <w:numFmt w:val="lowerLetter"/>
      <w:start w:val="1"/>
    </w:lvl>
  </w:abstractNum>
  <w:abstractNum w:abstractNumId="26">
    <w:nsid w:val="7F01579B"/>
    <w:multiLevelType w:val="hybridMultilevel"/>
    <w:lvl w:ilvl="0">
      <w:lvlJc w:val="left"/>
      <w:lvlText w:val="(%1)"/>
      <w:numFmt w:val="decimal"/>
      <w:start w:val="1"/>
    </w:lvl>
  </w:abstractNum>
  <w:abstractNum w:abstractNumId="27">
    <w:nsid w:val="49DA307D"/>
    <w:multiLevelType w:val="hybridMultilevel"/>
    <w:lvl w:ilvl="0">
      <w:lvlJc w:val="left"/>
      <w:lvlText w:val="(%1)"/>
      <w:numFmt w:val="decimal"/>
      <w:start w:val="4"/>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1)"/>
      <w:numFmt w:val="decimal"/>
      <w:start w:val="1"/>
    </w:lvl>
  </w:abstractNum>
  <w:abstractNum w:abstractNumId="32">
    <w:nsid w:val="5FB8011C"/>
    <w:multiLevelType w:val="hybridMultilevel"/>
    <w:lvl w:ilvl="0">
      <w:lvlJc w:val="left"/>
      <w:lvlText w:val="(%1)"/>
      <w:numFmt w:val="decimal"/>
      <w:start w:val="1"/>
    </w:lvl>
    <w:lvl w:ilvl="1">
      <w:lvlJc w:val="left"/>
      <w:lvlText w:val="(%2)"/>
      <w:numFmt w:val="lowerLetter"/>
      <w:start w:val="1"/>
    </w:lvl>
  </w:abstractNum>
  <w:abstractNum w:abstractNumId="33">
    <w:nsid w:val="6AA78F7F"/>
    <w:multiLevelType w:val="hybridMultilevel"/>
    <w:lvl w:ilvl="0">
      <w:lvlJc w:val="left"/>
      <w:lvlText w:val="(%1)"/>
      <w:numFmt w:val="decimal"/>
      <w:start w:val="1"/>
    </w:lvl>
  </w:abstractNum>
  <w:abstractNum w:abstractNumId="34">
    <w:nsid w:val="7672BD23"/>
    <w:multiLevelType w:val="hybridMultilevel"/>
    <w:lvl w:ilvl="0">
      <w:lvlJc w:val="left"/>
      <w:lvlText w:val="(%1)"/>
      <w:numFmt w:val="decimal"/>
      <w:start w:val="1"/>
    </w:lvl>
  </w:abstractNum>
  <w:abstractNum w:abstractNumId="35">
    <w:nsid w:val="6FC75AF8"/>
    <w:multiLevelType w:val="hybridMultilevel"/>
    <w:lvl w:ilvl="0">
      <w:lvlJc w:val="left"/>
      <w:lvlText w:val="(%1)"/>
      <w:numFmt w:val="decimal"/>
      <w:start w:val="1"/>
    </w:lvl>
  </w:abstractNum>
  <w:abstractNum w:abstractNumId="36">
    <w:nsid w:val="6A5F7029"/>
    <w:multiLevelType w:val="hybridMultilevel"/>
    <w:lvl w:ilvl="0">
      <w:lvlJc w:val="left"/>
      <w:lvlText w:val="(%1)"/>
      <w:numFmt w:val="decimal"/>
      <w:start w:val="1"/>
    </w:lvl>
  </w:abstractNum>
  <w:abstractNum w:abstractNumId="37">
    <w:nsid w:val="7D5E18F8"/>
    <w:multiLevelType w:val="hybridMultilevel"/>
    <w:lvl w:ilvl="0">
      <w:lvlJc w:val="left"/>
      <w:lvlText w:val="(%1)"/>
      <w:numFmt w:val="lowerLetter"/>
      <w:start w:val="1"/>
    </w:lvl>
  </w:abstractNum>
  <w:abstractNum w:abstractNumId="38">
    <w:nsid w:val="5F3534A4"/>
    <w:multiLevelType w:val="hybridMultilevel"/>
    <w:lvl w:ilvl="0">
      <w:lvlJc w:val="left"/>
      <w:lvlText w:val="(%1)"/>
      <w:numFmt w:val="lowerLetter"/>
      <w:start w:val="3"/>
    </w:lvl>
    <w:lvl w:ilvl="1">
      <w:lvlJc w:val="left"/>
      <w:lvlText w:val="(%2)"/>
      <w:numFmt w:val="lowerRoman"/>
      <w:start w:val="1"/>
    </w:lvl>
  </w:abstractNum>
  <w:abstractNum w:abstractNumId="39">
    <w:nsid w:val="73A1821B"/>
    <w:multiLevelType w:val="hybridMultilevel"/>
    <w:lvl w:ilvl="0">
      <w:lvlJc w:val="left"/>
      <w:lvlText w:val="(%1)"/>
      <w:numFmt w:val="decimal"/>
      <w:start w:val="1"/>
    </w:lvl>
  </w:abstractNum>
  <w:abstractNum w:abstractNumId="40">
    <w:nsid w:val="7DE67713"/>
    <w:multiLevelType w:val="hybridMultilevel"/>
    <w:lvl w:ilvl="0">
      <w:lvlJc w:val="left"/>
      <w:lvlText w:val="(%1)"/>
      <w:numFmt w:val="decimal"/>
      <w:start w:val="8"/>
    </w:lvl>
  </w:abstractNum>
  <w:abstractNum w:abstractNumId="41">
    <w:nsid w:val="555C55B5"/>
    <w:multiLevelType w:val="hybridMultilevel"/>
    <w:lvl w:ilvl="0">
      <w:lvlJc w:val="left"/>
      <w:lvlText w:val="(%1)"/>
      <w:numFmt w:val="decimal"/>
      <w:start w:val="1"/>
    </w:lvl>
  </w:abstractNum>
  <w:abstractNum w:abstractNumId="42">
    <w:nsid w:val="3FA62ACA"/>
    <w:multiLevelType w:val="hybridMultilevel"/>
    <w:lvl w:ilvl="0">
      <w:lvlJc w:val="left"/>
      <w:lvlText w:val="(%1)"/>
      <w:numFmt w:val="decimal"/>
      <w:start w:val="1"/>
    </w:lvl>
  </w:abstractNum>
  <w:abstractNum w:abstractNumId="43">
    <w:nsid w:val="14FCE74E"/>
    <w:multiLevelType w:val="hybridMultilevel"/>
    <w:lvl w:ilvl="0">
      <w:lvlJc w:val="left"/>
      <w:lvlText w:val="(%1)"/>
      <w:numFmt w:val="lowerLetter"/>
      <w:start w:val="1"/>
    </w:lvl>
  </w:abstractNum>
  <w:abstractNum w:abstractNumId="44">
    <w:nsid w:val="6A3DD3E8"/>
    <w:multiLevelType w:val="hybridMultilevel"/>
    <w:lvl w:ilvl="0">
      <w:lvlJc w:val="left"/>
      <w:lvlText w:val="%1"/>
      <w:numFmt w:val="decimal"/>
      <w:start w:val="1"/>
    </w:lvl>
    <w:lvl w:ilvl="1">
      <w:lvlJc w:val="left"/>
      <w:lvlText w:val="(%2)"/>
      <w:numFmt w:val="lowerLetter"/>
      <w:start w:val="2"/>
    </w:lvl>
  </w:abstractNum>
  <w:abstractNum w:abstractNumId="45">
    <w:nsid w:val="71C91298"/>
    <w:multiLevelType w:val="hybridMultilevel"/>
    <w:lvl w:ilvl="0">
      <w:lvlJc w:val="left"/>
      <w:lvlText w:val="(%1)"/>
      <w:numFmt w:val="decimal"/>
      <w:start w:val="7"/>
    </w:lvl>
    <w:lvl w:ilvl="1">
      <w:lvlJc w:val="left"/>
      <w:lvlText w:val="(%2)"/>
      <w:numFmt w:val="lowerLetter"/>
      <w:start w:val="1"/>
    </w:lvl>
  </w:abstractNum>
  <w:abstractNum w:abstractNumId="46">
    <w:nsid w:val="9DAF632"/>
    <w:multiLevelType w:val="hybridMultilevel"/>
    <w:lvl w:ilvl="0">
      <w:lvlJc w:val="left"/>
      <w:lvlText w:val="(%1)"/>
      <w:numFmt w:val="decimal"/>
      <w:start w:val="16"/>
    </w:lvl>
  </w:abstractNum>
  <w:abstractNum w:abstractNumId="47">
    <w:nsid w:val="53299938"/>
    <w:multiLevelType w:val="hybridMultilevel"/>
    <w:lvl w:ilvl="0">
      <w:lvlJc w:val="left"/>
      <w:lvlText w:val="(%1)"/>
      <w:numFmt w:val="decimal"/>
      <w:start w:val="1"/>
    </w:lvl>
  </w:abstractNum>
  <w:abstractNum w:abstractNumId="48">
    <w:nsid w:val="1FBFE8E0"/>
    <w:multiLevelType w:val="hybridMultilevel"/>
    <w:lvl w:ilvl="0">
      <w:lvlJc w:val="left"/>
      <w:lvlText w:val="(%1)"/>
      <w:numFmt w:val="decimal"/>
      <w:start w:val="1"/>
    </w:lvl>
  </w:abstractNum>
  <w:abstractNum w:abstractNumId="49">
    <w:nsid w:val="5092CA79"/>
    <w:multiLevelType w:val="hybridMultilevel"/>
    <w:lvl w:ilvl="0">
      <w:lvlJc w:val="left"/>
      <w:lvlText w:val="(%1)"/>
      <w:numFmt w:val="decimal"/>
      <w:start w:val="9"/>
    </w:lvl>
  </w:abstractNum>
  <w:abstractNum w:abstractNumId="50">
    <w:nsid w:val="1D545C4D"/>
    <w:multiLevelType w:val="hybridMultilevel"/>
    <w:lvl w:ilvl="0">
      <w:lvlJc w:val="left"/>
      <w:lvlText w:val="(%1)"/>
      <w:numFmt w:val="decimal"/>
      <w:start w:val="1"/>
    </w:lvl>
  </w:abstractNum>
  <w:abstractNum w:abstractNumId="51">
    <w:nsid w:val="59ADEA3D"/>
    <w:multiLevelType w:val="hybridMultilevel"/>
    <w:lvl w:ilvl="0">
      <w:lvlJc w:val="left"/>
      <w:lvlText w:val="(%1)"/>
      <w:numFmt w:val="decimal"/>
      <w:start w:val="1"/>
    </w:lvl>
  </w:abstractNum>
  <w:abstractNum w:abstractNumId="52">
    <w:nsid w:val="288F1A34"/>
    <w:multiLevelType w:val="hybridMultilevel"/>
    <w:lvl w:ilvl="0">
      <w:lvlJc w:val="left"/>
      <w:lvlText w:val="(%1)"/>
      <w:numFmt w:val="decimal"/>
      <w:start w:val="1"/>
    </w:lvl>
    <w:lvl w:ilvl="1">
      <w:lvlJc w:val="left"/>
      <w:lvlText w:val="(%2)"/>
      <w:numFmt w:val="lowerLetter"/>
      <w:start w:val="1"/>
    </w:lvl>
  </w:abstractNum>
  <w:abstractNum w:abstractNumId="53">
    <w:nsid w:val="2A155DBC"/>
    <w:multiLevelType w:val="hybridMultilevel"/>
    <w:lvl w:ilvl="0">
      <w:lvlJc w:val="left"/>
      <w:lvlText w:val="(%1)"/>
      <w:numFmt w:val="decimal"/>
      <w:start w:val="1"/>
    </w:lvl>
  </w:abstractNum>
  <w:abstractNum w:abstractNumId="54">
    <w:nsid w:val="1D9F6E5F"/>
    <w:multiLevelType w:val="hybridMultilevel"/>
    <w:lvl w:ilvl="0">
      <w:lvlJc w:val="left"/>
      <w:lvlText w:val="(%1)"/>
      <w:numFmt w:val="decimal"/>
      <w:start w:val="9"/>
    </w:lvl>
  </w:abstractNum>
  <w:abstractNum w:abstractNumId="55">
    <w:nsid w:val="97E1B4E"/>
    <w:multiLevelType w:val="hybridMultilevel"/>
    <w:lvl w:ilvl="0">
      <w:lvlJc w:val="left"/>
      <w:lvlText w:val="(%1)"/>
      <w:numFmt w:val="lowerRoman"/>
      <w:start w:val="1"/>
    </w:lvl>
  </w:abstractNum>
  <w:abstractNum w:abstractNumId="56">
    <w:nsid w:val="51088277"/>
    <w:multiLevelType w:val="hybridMultilevel"/>
    <w:lvl w:ilvl="0">
      <w:lvlJc w:val="left"/>
      <w:lvlText w:val="(%1)"/>
      <w:numFmt w:val="decimal"/>
      <w:start w:val="1"/>
    </w:lvl>
  </w:abstractNum>
  <w:abstractNum w:abstractNumId="57">
    <w:nsid w:val="1CA0C5FA"/>
    <w:multiLevelType w:val="hybridMultilevel"/>
    <w:lvl w:ilvl="0">
      <w:lvlJc w:val="left"/>
      <w:lvlText w:val="(%1)"/>
      <w:numFmt w:val="decimal"/>
      <w:start w:val="1"/>
    </w:lvl>
  </w:abstractNum>
  <w:abstractNum w:abstractNumId="58">
    <w:nsid w:val="53584BCB"/>
    <w:multiLevelType w:val="hybridMultilevel"/>
    <w:lvl w:ilvl="0">
      <w:lvlJc w:val="left"/>
      <w:lvlText w:val="(%1)"/>
      <w:numFmt w:val="decimal"/>
      <w:start w:val="4"/>
    </w:lvl>
    <w:lvl w:ilvl="1">
      <w:lvlJc w:val="left"/>
      <w:lvlText w:val="(%2)"/>
      <w:numFmt w:val="lowerLetter"/>
      <w:start w:val="1"/>
    </w:lvl>
  </w:abstractNum>
  <w:abstractNum w:abstractNumId="59">
    <w:nsid w:val="415E286C"/>
    <w:multiLevelType w:val="hybridMultilevel"/>
    <w:lvl w:ilvl="0">
      <w:lvlJc w:val="left"/>
      <w:lvlText w:val="(%1)"/>
      <w:numFmt w:val="decimal"/>
      <w:start w:val="6"/>
    </w:lvl>
    <w:lvl w:ilvl="1">
      <w:lvlJc w:val="left"/>
      <w:lvlText w:val="(%2)"/>
      <w:numFmt w:val="lowerLetter"/>
      <w:start w:val="1"/>
    </w:lvl>
  </w:abstractNum>
  <w:abstractNum w:abstractNumId="60">
    <w:nsid w:val="7C58FD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1">
    <w:nsid w:val="23D86AA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5"/>
    </w:lvl>
  </w:abstractNum>
  <w:abstractNum w:abstractNumId="62">
    <w:nsid w:val="45E6D486"/>
    <w:multiLevelType w:val="hybridMultilevel"/>
    <w:lvl w:ilvl="0">
      <w:lvlJc w:val="left"/>
      <w:lvlText w:val="(%1)"/>
      <w:numFmt w:val="lowerRoman"/>
      <w:start w:val="1"/>
    </w:lvl>
  </w:abstractNum>
  <w:abstractNum w:abstractNumId="63">
    <w:nsid w:val="5C10FE21"/>
    <w:multiLevelType w:val="hybridMultilevel"/>
    <w:lvl w:ilvl="0">
      <w:lvlJc w:val="left"/>
      <w:lvlText w:val="(%1)"/>
      <w:numFmt w:val="decimal"/>
      <w:start w:val="1"/>
    </w:lvl>
  </w:abstractNum>
  <w:abstractNum w:abstractNumId="64">
    <w:nsid w:val="E7FFA2B"/>
    <w:multiLevelType w:val="hybridMultilevel"/>
    <w:lvl w:ilvl="0">
      <w:lvlJc w:val="left"/>
      <w:lvlText w:val="(%1)"/>
      <w:numFmt w:val="decimal"/>
      <w:start w:val="1"/>
    </w:lvl>
  </w:abstractNum>
  <w:abstractNum w:abstractNumId="65">
    <w:nsid w:val="3C5991AA"/>
    <w:multiLevelType w:val="hybridMultilevel"/>
    <w:lvl w:ilvl="0">
      <w:lvlJc w:val="left"/>
      <w:lvlText w:val="(%1)"/>
      <w:numFmt w:val="decimal"/>
      <w:start w:val="1"/>
    </w:lvl>
  </w:abstractNum>
  <w:abstractNum w:abstractNumId="66">
    <w:nsid w:val="4BD8591A"/>
    <w:multiLevelType w:val="hybridMultilevel"/>
    <w:lvl w:ilvl="0">
      <w:lvlJc w:val="left"/>
      <w:lvlText w:val="(%1)"/>
      <w:numFmt w:val="decimal"/>
      <w:start w:val="7"/>
    </w:lvl>
  </w:abstractNum>
  <w:abstractNum w:abstractNumId="67">
    <w:nsid w:val="78DF6A55"/>
    <w:multiLevelType w:val="hybridMultilevel"/>
    <w:lvl w:ilvl="0">
      <w:lvlJc w:val="left"/>
      <w:lvlText w:val="(%1)"/>
      <w:numFmt w:val="decimal"/>
      <w:start w:val="1"/>
    </w:lvl>
  </w:abstractNum>
  <w:abstractNum w:abstractNumId="68">
    <w:nsid w:val="39B7AAA2"/>
    <w:multiLevelType w:val="hybridMultilevel"/>
    <w:lvl w:ilvl="0">
      <w:lvlJc w:val="left"/>
      <w:lvlText w:val="(%1)"/>
      <w:numFmt w:val="decimal"/>
      <w:start w:val="1"/>
    </w:lvl>
  </w:abstractNum>
  <w:abstractNum w:abstractNumId="69">
    <w:nsid w:val="2B0D8DBE"/>
    <w:multiLevelType w:val="hybridMultilevel"/>
    <w:lvl w:ilvl="0">
      <w:lvlJc w:val="left"/>
      <w:lvlText w:val="(%1)"/>
      <w:numFmt w:val="decimal"/>
      <w:start w:val="4"/>
    </w:lvl>
  </w:abstractNum>
  <w:abstractNum w:abstractNumId="70">
    <w:nsid w:val="6C80EC70"/>
    <w:multiLevelType w:val="hybridMultilevel"/>
    <w:lvl w:ilvl="0">
      <w:lvlJc w:val="left"/>
      <w:lvlText w:val="(%1)"/>
      <w:numFmt w:val="decimal"/>
      <w:start w:val="1"/>
    </w:lvl>
    <w:lvl w:ilvl="1">
      <w:lvlJc w:val="left"/>
      <w:lvlText w:val="(%2)"/>
      <w:numFmt w:val="lowerLetter"/>
      <w:start w:val="1"/>
    </w:lvl>
  </w:abstractNum>
  <w:abstractNum w:abstractNumId="71">
    <w:nsid w:val="379E21B5"/>
    <w:multiLevelType w:val="hybridMultilevel"/>
    <w:lvl w:ilvl="0">
      <w:lvlJc w:val="left"/>
      <w:lvlText w:val="(%1)"/>
      <w:numFmt w:val="decimal"/>
      <w:start w:val="2"/>
    </w:lvl>
  </w:abstractNum>
  <w:abstractNum w:abstractNumId="72">
    <w:nsid w:val="69E373"/>
    <w:multiLevelType w:val="hybridMultilevel"/>
    <w:lvl w:ilvl="0">
      <w:lvlJc w:val="left"/>
      <w:lvlText w:val="(%1)"/>
      <w:numFmt w:val="decimal"/>
      <w:start w:val="1"/>
    </w:lvl>
  </w:abstractNum>
  <w:abstractNum w:abstractNumId="73">
    <w:nsid w:val="2C27173B"/>
    <w:multiLevelType w:val="hybridMultilevel"/>
    <w:lvl w:ilvl="0">
      <w:lvlJc w:val="left"/>
      <w:lvlText w:val="(%1)"/>
      <w:numFmt w:val="decimal"/>
      <w:start w:val="1"/>
    </w:lvl>
    <w:lvl w:ilvl="1">
      <w:lvlJc w:val="left"/>
      <w:lvlText w:val="(%2)"/>
      <w:numFmt w:val="lowerLetter"/>
      <w:start w:val="1"/>
    </w:lvl>
  </w:abstractNum>
  <w:abstractNum w:abstractNumId="74">
    <w:nsid w:val="4C9B0904"/>
    <w:multiLevelType w:val="hybridMultilevel"/>
    <w:lvl w:ilvl="0">
      <w:lvlJc w:val="left"/>
      <w:lvlText w:val="(%1)"/>
      <w:numFmt w:val="decimal"/>
      <w:start w:val="1"/>
    </w:lvl>
  </w:abstractNum>
  <w:abstractNum w:abstractNumId="75">
    <w:nsid w:val="6AA7B75C"/>
    <w:multiLevelType w:val="hybridMultilevel"/>
    <w:lvl w:ilvl="0">
      <w:lvlJc w:val="left"/>
      <w:lvlText w:val="(%1)"/>
      <w:numFmt w:val="decimal"/>
      <w:start w:val="1"/>
    </w:lvl>
  </w:abstractNum>
  <w:abstractNum w:abstractNumId="76">
    <w:nsid w:val="1DF029D3"/>
    <w:multiLevelType w:val="hybridMultilevel"/>
    <w:lvl w:ilvl="0">
      <w:lvlJc w:val="left"/>
      <w:lvlText w:val="(%1)"/>
      <w:numFmt w:val="decimal"/>
      <w:start w:val="1"/>
    </w:lvl>
  </w:abstractNum>
  <w:abstractNum w:abstractNumId="77">
    <w:nsid w:val="5675FF36"/>
    <w:multiLevelType w:val="hybridMultilevel"/>
    <w:lvl w:ilvl="0">
      <w:lvlJc w:val="left"/>
      <w:lvlText w:val="(%1)"/>
      <w:numFmt w:val="decimal"/>
      <w:start w:val="1"/>
    </w:lvl>
  </w:abstractNum>
  <w:abstractNum w:abstractNumId="78">
    <w:nsid w:val="3DD15094"/>
    <w:multiLevelType w:val="hybridMultilevel"/>
    <w:lvl w:ilvl="0">
      <w:lvlJc w:val="left"/>
      <w:lvlText w:val="(%1)"/>
      <w:numFmt w:val="decimal"/>
      <w:start w:val="1"/>
    </w:lvl>
  </w:abstractNum>
  <w:abstractNum w:abstractNumId="79">
    <w:nsid w:val="3DB012B3"/>
    <w:multiLevelType w:val="hybridMultilevel"/>
    <w:lvl w:ilvl="0">
      <w:lvlJc w:val="left"/>
      <w:lvlText w:val="(%1)"/>
      <w:numFmt w:val="decimal"/>
      <w:start w:val="5"/>
    </w:lvl>
  </w:abstractNum>
  <w:abstractNum w:abstractNumId="80">
    <w:nsid w:val="2708C9AF"/>
    <w:multiLevelType w:val="hybridMultilevel"/>
    <w:lvl w:ilvl="0">
      <w:lvlJc w:val="left"/>
      <w:lvlText w:val="(%1)"/>
      <w:numFmt w:val="decimal"/>
      <w:start w:val="1"/>
    </w:lvl>
  </w:abstractNum>
  <w:abstractNum w:abstractNumId="81">
    <w:nsid w:val="5B25ACE2"/>
    <w:multiLevelType w:val="hybridMultilevel"/>
    <w:lvl w:ilvl="0">
      <w:lvlJc w:val="left"/>
      <w:lvlText w:val="(%1)"/>
      <w:numFmt w:val="upperLetter"/>
      <w:start w:val="1"/>
    </w:lvl>
    <w:lvl w:ilvl="1">
      <w:lvlJc w:val="left"/>
      <w:lvlText w:val="(%2)"/>
      <w:numFmt w:val="decimal"/>
      <w:start w:val="1"/>
    </w:lvl>
  </w:abstractNum>
  <w:abstractNum w:abstractNumId="82">
    <w:nsid w:val="175DFCF0"/>
    <w:multiLevelType w:val="hybridMultilevel"/>
    <w:lvl w:ilvl="0">
      <w:lvlJc w:val="left"/>
      <w:lvlText w:val="%1"/>
      <w:numFmt w:val="upperLetter"/>
      <w:start w:val="1"/>
    </w:lvl>
    <w:lvl w:ilvl="1">
      <w:lvlJc w:val="left"/>
      <w:lvlText w:val="(%2)"/>
      <w:numFmt w:val="decimal"/>
      <w:start w:val="2"/>
    </w:lvl>
  </w:abstractNum>
  <w:abstractNum w:abstractNumId="83">
    <w:nsid w:val="4F97E3E4"/>
    <w:multiLevelType w:val="hybridMultilevel"/>
    <w:lvl w:ilvl="0">
      <w:lvlJc w:val="left"/>
      <w:lvlText w:val="(%1)"/>
      <w:numFmt w:val="upperLetter"/>
      <w:start w:val="2"/>
    </w:lvl>
    <w:lvl w:ilvl="1">
      <w:lvlJc w:val="left"/>
      <w:lvlText w:val="(%2)"/>
      <w:numFmt w:val="decimal"/>
      <w:start w:val="1"/>
    </w:lvl>
  </w:abstractNum>
  <w:abstractNum w:abstractNumId="84">
    <w:nsid w:val="53B0A9E"/>
    <w:multiLevelType w:val="hybridMultilevel"/>
    <w:lvl w:ilvl="0">
      <w:lvlJc w:val="left"/>
      <w:lvlText w:val="(%1)"/>
      <w:numFmt w:val="upperLetter"/>
      <w:start w:val="1"/>
    </w:lvl>
  </w:abstractNum>
  <w:abstractNum w:abstractNumId="85">
    <w:nsid w:val="34FD6B4F"/>
    <w:multiLevelType w:val="hybridMultilevel"/>
    <w:lvl w:ilvl="0">
      <w:lvlJc w:val="left"/>
      <w:lvlText w:val="(%1)"/>
      <w:numFmt w:val="decimal"/>
      <w:start w:val="1"/>
    </w:lvl>
  </w:abstractNum>
  <w:abstractNum w:abstractNumId="86">
    <w:nsid w:val="5915FF32"/>
    <w:multiLevelType w:val="hybridMultilevel"/>
    <w:lvl w:ilvl="0">
      <w:lvlJc w:val="left"/>
      <w:lvlText w:val="(%1)"/>
      <w:numFmt w:val="decimal"/>
      <w:start w:val="2"/>
    </w:lvl>
  </w:abstractNum>
  <w:abstractNum w:abstractNumId="87">
    <w:nsid w:val="56438D15"/>
    <w:multiLevelType w:val="hybridMultilevel"/>
    <w:lvl w:ilvl="0">
      <w:lvlJc w:val="left"/>
      <w:lvlText w:val="(%1)"/>
      <w:numFmt w:val="upperLetter"/>
      <w:start w:val="1"/>
    </w:lvl>
  </w:abstractNum>
  <w:abstractNum w:abstractNumId="88">
    <w:nsid w:val="519E3149"/>
    <w:multiLevelType w:val="hybridMultilevel"/>
    <w:lvl w:ilvl="0">
      <w:lvlJc w:val="left"/>
      <w:lvlText w:val="(%1)"/>
      <w:numFmt w:val="decimal"/>
      <w:start w:val="1"/>
    </w:lvl>
  </w:abstractNum>
  <w:abstractNum w:abstractNumId="89">
    <w:nsid w:val="2C6E4AFD"/>
    <w:multiLevelType w:val="hybridMultilevel"/>
    <w:lvl w:ilvl="0">
      <w:lvlJc w:val="left"/>
      <w:lvlText w:val="(%1)"/>
      <w:numFmt w:val="decimal"/>
      <w:start w:val="1"/>
    </w:lvl>
  </w:abstractNum>
  <w:abstractNum w:abstractNumId="90">
    <w:nsid w:val="17A1B582"/>
    <w:multiLevelType w:val="hybridMultilevel"/>
    <w:lvl w:ilvl="0">
      <w:lvlJc w:val="left"/>
      <w:lvlText w:val="(%1)"/>
      <w:numFmt w:val="decimal"/>
      <w:start w:val="4"/>
    </w:lvl>
  </w:abstractNum>
  <w:abstractNum w:abstractNumId="91">
    <w:nsid w:val="4DF72E4E"/>
    <w:multiLevelType w:val="hybridMultilevel"/>
    <w:lvl w:ilvl="0">
      <w:lvlJc w:val="left"/>
      <w:lvlText w:val="(%1)"/>
      <w:numFmt w:val="decimal"/>
      <w:start w:val="1"/>
    </w:lvl>
  </w:abstractNum>
  <w:abstractNum w:abstractNumId="92">
    <w:nsid w:val="5046B5A9"/>
    <w:multiLevelType w:val="hybridMultilevel"/>
    <w:lvl w:ilvl="0">
      <w:lvlJc w:val="left"/>
      <w:lvlText w:val="(%1)"/>
      <w:numFmt w:val="lowerRoman"/>
      <w:start w:val="2"/>
    </w:lvl>
  </w:abstractNum>
  <w:abstractNum w:abstractNumId="93">
    <w:nsid w:val="5D888A08"/>
    <w:multiLevelType w:val="hybridMultilevel"/>
    <w:lvl w:ilvl="0">
      <w:lvlJc w:val="left"/>
      <w:lvlText w:val="(%1)"/>
      <w:numFmt w:val="lowerRoman"/>
      <w:start w:val="6"/>
    </w:lvl>
  </w:abstractNum>
  <w:abstractNum w:abstractNumId="94">
    <w:nsid w:val="2A082C70"/>
    <w:multiLevelType w:val="hybridMultilevel"/>
    <w:lvl w:ilvl="0">
      <w:lvlJc w:val="left"/>
      <w:lvlText w:val="(%1)"/>
      <w:numFmt w:val="lowerRoman"/>
      <w:start w:val="10"/>
    </w:lvl>
  </w:abstractNum>
  <w:abstractNum w:abstractNumId="95">
    <w:nsid w:val="5EC6AFD4"/>
    <w:multiLevelType w:val="hybridMultilevel"/>
    <w:lvl w:ilvl="0">
      <w:lvlJc w:val="left"/>
      <w:lvlText w:val="(%1)"/>
      <w:numFmt w:val="lowerRoman"/>
      <w:start w:val="2"/>
    </w:lvl>
  </w:abstractNum>
  <w:abstractNum w:abstractNumId="96">
    <w:nsid w:val="19E21BB2"/>
    <w:multiLevelType w:val="hybridMultilevel"/>
    <w:lvl w:ilvl="0">
      <w:lvlJc w:val="left"/>
      <w:lvlText w:val="(%1)"/>
      <w:numFmt w:val="lowerRoman"/>
      <w:start w:val="7"/>
    </w:lvl>
  </w:abstractNum>
  <w:abstractNum w:abstractNumId="97">
    <w:nsid w:val="75E0858A"/>
    <w:multiLevelType w:val="hybridMultilevel"/>
    <w:lvl w:ilvl="0">
      <w:lvlJc w:val="left"/>
      <w:lvlText w:val="(%1)"/>
      <w:numFmt w:val="lowerRoman"/>
      <w:start w:val="14"/>
    </w:lvl>
  </w:abstractNum>
  <w:abstractNum w:abstractNumId="98">
    <w:nsid w:val="57A61A29"/>
    <w:multiLevelType w:val="hybridMultilevel"/>
    <w:lvl w:ilvl="0">
      <w:lvlJc w:val="left"/>
      <w:lvlText w:val="(%1)"/>
      <w:numFmt w:val="decimal"/>
      <w:start w:val="1"/>
    </w:lvl>
  </w:abstractNum>
  <w:abstractNum w:abstractNumId="99">
    <w:nsid w:val="5399C654"/>
    <w:multiLevelType w:val="hybridMultilevel"/>
    <w:lvl w:ilvl="0">
      <w:lvlJc w:val="left"/>
      <w:lvlText w:val="(%1)"/>
      <w:numFmt w:val="lowerLetter"/>
      <w:start w:val="1"/>
    </w:lvl>
  </w:abstractNum>
  <w:abstractNum w:abstractNumId="100">
    <w:nsid w:val="20EE1348"/>
    <w:multiLevelType w:val="hybridMultilevel"/>
    <w:lvl w:ilvl="0">
      <w:lvlJc w:val="left"/>
      <w:lvlText w:val="(%1)"/>
      <w:numFmt w:val="decimal"/>
      <w:start w:val="2"/>
    </w:lvl>
  </w:abstractNum>
  <w:abstractNum w:abstractNumId="101">
    <w:nsid w:val="4427069A"/>
    <w:multiLevelType w:val="hybridMultilevel"/>
    <w:lvl w:ilvl="0">
      <w:lvlJc w:val="left"/>
      <w:lvlText w:val="(%1)"/>
      <w:numFmt w:val="lowerLetter"/>
      <w:start w:val="1"/>
    </w:lvl>
    <w:lvl w:ilvl="1">
      <w:lvlJc w:val="left"/>
      <w:lvlText w:val="(%2)"/>
      <w:numFmt w:val="lowerRoman"/>
      <w:start w:val="1"/>
    </w:lvl>
  </w:abstractNum>
  <w:abstractNum w:abstractNumId="102">
    <w:nsid w:val="B37E80A"/>
    <w:multiLevelType w:val="hybridMultilevel"/>
    <w:lvl w:ilvl="0">
      <w:lvlJc w:val="left"/>
      <w:lvlText w:val="(%1)"/>
      <w:numFmt w:val="decimal"/>
      <w:start w:val="1"/>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decimal"/>
      <w:start w:val="1"/>
    </w:lvl>
  </w:abstractNum>
  <w:abstractNum w:abstractNumId="105">
    <w:nsid w:val="57D2F10E"/>
    <w:multiLevelType w:val="hybridMultilevel"/>
    <w:lvl w:ilvl="0">
      <w:lvlJc w:val="left"/>
      <w:lvlText w:val="(%1)"/>
      <w:numFmt w:val="decimal"/>
      <w:start w:val="1"/>
    </w:lvl>
  </w:abstractNum>
  <w:abstractNum w:abstractNumId="106">
    <w:nsid w:val="BFFAE18"/>
    <w:multiLevelType w:val="hybridMultilevel"/>
    <w:lvl w:ilvl="0">
      <w:lvlJc w:val="left"/>
      <w:lvlText w:val="(%1)"/>
      <w:numFmt w:val="decimal"/>
      <w:start w:val="1"/>
    </w:lvl>
  </w:abstractNum>
  <w:abstractNum w:abstractNumId="107">
    <w:nsid w:val="E3E47A8"/>
    <w:multiLevelType w:val="hybridMultilevel"/>
    <w:lvl w:ilvl="0">
      <w:lvlJc w:val="left"/>
      <w:lvlText w:val="(%1)"/>
      <w:numFmt w:val="decimal"/>
      <w:start w:val="1"/>
    </w:lvl>
    <w:lvl w:ilvl="1">
      <w:lvlJc w:val="left"/>
      <w:lvlText w:val="(%2)"/>
      <w:numFmt w:val="lowerLetter"/>
      <w:start w:val="1"/>
    </w:lvl>
  </w:abstractNum>
  <w:abstractNum w:abstractNumId="108">
    <w:nsid w:val="2E48F044"/>
    <w:multiLevelType w:val="hybridMultilevel"/>
    <w:lvl w:ilvl="0">
      <w:lvlJc w:val="left"/>
      <w:lvlText w:val="(%1)"/>
      <w:numFmt w:val="decimal"/>
      <w:start w:val="6"/>
    </w:lvl>
  </w:abstractNum>
  <w:abstractNum w:abstractNumId="109">
    <w:nsid w:val="49D0FEAC"/>
    <w:multiLevelType w:val="hybridMultilevel"/>
    <w:lvl w:ilvl="0">
      <w:lvlJc w:val="left"/>
      <w:lvlText w:val="(%1)"/>
      <w:numFmt w:val="decimal"/>
      <w:start w:val="19"/>
    </w:lvl>
  </w:abstractNum>
  <w:abstractNum w:abstractNumId="110">
    <w:nsid w:val="4BEE5A5B"/>
    <w:multiLevelType w:val="hybridMultilevel"/>
    <w:lvl w:ilvl="0">
      <w:lvlJc w:val="left"/>
      <w:lvlText w:val="(%1)"/>
      <w:numFmt w:val="decimal"/>
      <w:start w:val="1"/>
    </w:lvl>
  </w:abstractNum>
  <w:abstractNum w:abstractNumId="111">
    <w:nsid w:val="5551B9F3"/>
    <w:multiLevelType w:val="hybridMultilevel"/>
    <w:lvl w:ilvl="0">
      <w:lvlJc w:val="left"/>
      <w:lvlText w:val="(%1)"/>
      <w:numFmt w:val="decimal"/>
      <w:start w:val="9"/>
    </w:lvl>
    <w:lvl w:ilvl="1">
      <w:lvlJc w:val="left"/>
      <w:lvlText w:val="(%2)"/>
      <w:numFmt w:val="lowerLetter"/>
      <w:start w:val="1"/>
    </w:lvl>
  </w:abstractNum>
  <w:abstractNum w:abstractNumId="112">
    <w:nsid w:val="24F6AB8E"/>
    <w:multiLevelType w:val="hybridMultilevel"/>
    <w:lvl w:ilvl="0">
      <w:lvlJc w:val="left"/>
      <w:lvlText w:val="%1"/>
      <w:numFmt w:val="decimal"/>
      <w:start w:val="1"/>
    </w:lvl>
    <w:lvl w:ilvl="1">
      <w:lvlJc w:val="left"/>
      <w:lvlText w:val="(%2)"/>
      <w:numFmt w:val="lowerLetter"/>
      <w:start w:val="2"/>
    </w:lvl>
  </w:abstractNum>
  <w:abstractNum w:abstractNumId="113">
    <w:nsid w:val="634C574C"/>
    <w:multiLevelType w:val="hybridMultilevel"/>
    <w:lvl w:ilvl="0">
      <w:lvlJc w:val="left"/>
      <w:lvlText w:val="(%1)"/>
      <w:numFmt w:val="decimal"/>
      <w:start w:val="15"/>
    </w:lvl>
    <w:lvl w:ilvl="1">
      <w:lvlJc w:val="left"/>
      <w:lvlText w:val="%2"/>
      <w:numFmt w:val="lowerLetter"/>
      <w:start w:val="1"/>
    </w:lvl>
  </w:abstractNum>
  <w:abstractNum w:abstractNumId="114">
    <w:nsid w:val="24E99DD7"/>
    <w:multiLevelType w:val="hybridMultilevel"/>
    <w:lvl w:ilvl="0">
      <w:lvlJc w:val="left"/>
      <w:lvlText w:val="(%1)"/>
      <w:numFmt w:val="decimal"/>
      <w:start w:val="19"/>
    </w:lvl>
  </w:abstractNum>
  <w:abstractNum w:abstractNumId="115">
    <w:nsid w:val="2A31B62D"/>
    <w:multiLevelType w:val="hybridMultilevel"/>
    <w:lvl w:ilvl="0">
      <w:lvlJc w:val="left"/>
      <w:lvlText w:val="(%1)"/>
      <w:numFmt w:val="decimal"/>
      <w:start w:val="34"/>
    </w:lvl>
  </w:abstractNum>
  <w:abstractNum w:abstractNumId="116">
    <w:nsid w:val="1849C29B"/>
    <w:multiLevelType w:val="hybridMultilevel"/>
    <w:lvl w:ilvl="0">
      <w:lvlJc w:val="left"/>
      <w:lvlText w:val="(%1)"/>
      <w:numFmt w:val="decimal"/>
      <w:start w:val="1"/>
    </w:lvl>
  </w:abstractNum>
  <w:abstractNum w:abstractNumId="117">
    <w:nsid w:val="7DFF9D09"/>
    <w:multiLevelType w:val="hybridMultilevel"/>
    <w:lvl w:ilvl="0">
      <w:lvlJc w:val="left"/>
      <w:lvlText w:val="(%1)"/>
      <w:numFmt w:val="lowerLetter"/>
      <w:start w:val="1"/>
    </w:lvl>
  </w:abstractNum>
  <w:abstractNum w:abstractNumId="118">
    <w:nsid w:val="754342"/>
    <w:multiLevelType w:val="hybridMultilevel"/>
    <w:lvl w:ilvl="0">
      <w:lvlJc w:val="left"/>
      <w:lvlText w:val="(%1)"/>
      <w:numFmt w:val="decimal"/>
      <w:start w:val="1"/>
    </w:lvl>
  </w:abstractNum>
  <w:abstractNum w:abstractNumId="119">
    <w:nsid w:val="69E7F3E5"/>
    <w:multiLevelType w:val="hybridMultilevel"/>
    <w:lvl w:ilvl="0">
      <w:lvlJc w:val="left"/>
      <w:lvlText w:val="(%1)"/>
      <w:numFmt w:val="lowerLetter"/>
      <w:start w:val="1"/>
    </w:lvl>
  </w:abstractNum>
  <w:abstractNum w:abstractNumId="120">
    <w:nsid w:val="2A6DE806"/>
    <w:multiLevelType w:val="hybridMultilevel"/>
    <w:lvl w:ilvl="0">
      <w:lvlJc w:val="left"/>
      <w:lvlText w:val="(%1)"/>
      <w:numFmt w:val="decimal"/>
      <w:start w:val="1"/>
    </w:lvl>
  </w:abstractNum>
  <w:abstractNum w:abstractNumId="121">
    <w:nsid w:val="1816F8C4"/>
    <w:multiLevelType w:val="hybridMultilevel"/>
    <w:lvl w:ilvl="0">
      <w:lvlJc w:val="left"/>
      <w:lvlText w:val="(%1)"/>
      <w:numFmt w:val="decimal"/>
      <w:start w:val="1"/>
    </w:lvl>
  </w:abstractNum>
  <w:abstractNum w:abstractNumId="122">
    <w:nsid w:val="37DF2233"/>
    <w:multiLevelType w:val="hybridMultilevel"/>
    <w:lvl w:ilvl="0">
      <w:lvlJc w:val="left"/>
      <w:lvlText w:val="(%1)"/>
      <w:numFmt w:val="decimal"/>
      <w:start w:val="1"/>
    </w:lvl>
  </w:abstractNum>
  <w:abstractNum w:abstractNumId="123">
    <w:nsid w:val="7AB49DAF"/>
    <w:multiLevelType w:val="hybridMultilevel"/>
    <w:lvl w:ilvl="0">
      <w:lvlJc w:val="left"/>
      <w:lvlText w:val="(%1)"/>
      <w:numFmt w:val="lowerRoman"/>
      <w:start w:val="2"/>
    </w:lvl>
  </w:abstractNum>
  <w:abstractNum w:abstractNumId="124">
    <w:nsid w:val="759F82CD"/>
    <w:multiLevelType w:val="hybridMultilevel"/>
    <w:lvl w:ilvl="0">
      <w:lvlJc w:val="left"/>
      <w:lvlText w:val="(%1)"/>
      <w:numFmt w:val="decimal"/>
      <w:start w:val="1"/>
    </w:lvl>
  </w:abstractNum>
  <w:abstractNum w:abstractNumId="125">
    <w:nsid w:val="61E74EA3"/>
    <w:multiLevelType w:val="hybridMultilevel"/>
    <w:lvl w:ilvl="0">
      <w:lvlJc w:val="left"/>
      <w:lvlText w:val="(%1)"/>
      <w:numFmt w:val="decimal"/>
      <w:start w:val="8"/>
    </w:lvl>
  </w:abstractNum>
  <w:abstractNum w:abstractNumId="126">
    <w:nsid w:val="597B4D84"/>
    <w:multiLevelType w:val="hybridMultilevel"/>
    <w:lvl w:ilvl="0">
      <w:lvlJc w:val="left"/>
      <w:lvlText w:val="(%1)"/>
      <w:numFmt w:val="decimal"/>
      <w:start w:val="1"/>
    </w:lvl>
  </w:abstractNum>
  <w:abstractNum w:abstractNumId="127">
    <w:nsid w:val="F819E7F"/>
    <w:multiLevelType w:val="hybridMultilevel"/>
    <w:lvl w:ilvl="0">
      <w:lvlJc w:val="left"/>
      <w:lvlText w:val="(%1)"/>
      <w:numFmt w:val="decimal"/>
      <w:start w:val="8"/>
    </w:lvl>
  </w:abstractNum>
  <w:abstractNum w:abstractNumId="128">
    <w:nsid w:val="57C7D42D"/>
    <w:multiLevelType w:val="hybridMultilevel"/>
    <w:lvl w:ilvl="0">
      <w:lvlJc w:val="left"/>
      <w:lvlText w:val="(%1)"/>
      <w:numFmt w:val="lowerLetter"/>
      <w:start w:val="23"/>
    </w:lvl>
  </w:abstractNum>
  <w:abstractNum w:abstractNumId="129">
    <w:nsid w:val="312167AD"/>
    <w:multiLevelType w:val="hybridMultilevel"/>
    <w:lvl w:ilvl="0">
      <w:lvlJc w:val="left"/>
      <w:lvlText w:val="(%1)"/>
      <w:numFmt w:val="decimal"/>
      <w:start w:val="1"/>
    </w:lvl>
  </w:abstractNum>
  <w:abstractNum w:abstractNumId="130">
    <w:nsid w:val="631B64D4"/>
    <w:multiLevelType w:val="hybridMultilevel"/>
    <w:lvl w:ilvl="0">
      <w:lvlJc w:val="left"/>
      <w:lvlText w:val="(%1)"/>
      <w:numFmt w:val="lowerRoman"/>
      <w:start w:val="2"/>
    </w:lvl>
  </w:abstractNum>
  <w:abstractNum w:abstractNumId="131">
    <w:nsid w:val="78B5E776"/>
    <w:multiLevelType w:val="hybridMultilevel"/>
    <w:lvl w:ilvl="0">
      <w:lvlJc w:val="left"/>
      <w:lvlText w:val="(%1)"/>
      <w:numFmt w:val="decimal"/>
      <w:start w:val="1"/>
    </w:lvl>
  </w:abstractNum>
  <w:abstractNum w:abstractNumId="132">
    <w:nsid w:val="75486E47"/>
    <w:multiLevelType w:val="hybridMultilevel"/>
    <w:lvl w:ilvl="0">
      <w:lvlJc w:val="left"/>
      <w:lvlText w:val="(%1)"/>
      <w:numFmt w:val="decimal"/>
      <w:start w:val="5"/>
    </w:lvl>
  </w:abstractNum>
  <w:abstractNum w:abstractNumId="133">
    <w:nsid w:val="6E534CDE"/>
    <w:multiLevelType w:val="hybridMultilevel"/>
    <w:lvl w:ilvl="0">
      <w:lvlJc w:val="left"/>
      <w:lvlText w:val="(%1)"/>
      <w:numFmt w:val="decimal"/>
      <w:start w:val="1"/>
    </w:lvl>
    <w:lvl w:ilvl="1">
      <w:lvlJc w:val="left"/>
      <w:lvlText w:val="(%2)"/>
      <w:numFmt w:val="lowerLetter"/>
      <w:start w:val="1"/>
    </w:lvl>
  </w:abstractNum>
  <w:abstractNum w:abstractNumId="134">
    <w:nsid w:val="1A0DDE32"/>
    <w:multiLevelType w:val="hybridMultilevel"/>
    <w:lvl w:ilvl="0">
      <w:lvlJc w:val="left"/>
      <w:lvlText w:val="(%1)"/>
      <w:numFmt w:val="lowerLetter"/>
      <w:start w:val="3"/>
    </w:lvl>
  </w:abstractNum>
  <w:abstractNum w:abstractNumId="135">
    <w:nsid w:val="65968C1C"/>
    <w:multiLevelType w:val="hybridMultilevel"/>
    <w:lvl w:ilvl="0">
      <w:lvlJc w:val="left"/>
      <w:lvlText w:val="(%1)"/>
      <w:numFmt w:val="decimal"/>
      <w:start w:val="2"/>
    </w:lvl>
  </w:abstractNum>
  <w:abstractNum w:abstractNumId="136">
    <w:nsid w:val="46263DEC"/>
    <w:multiLevelType w:val="hybridMultilevel"/>
    <w:lvl w:ilvl="0">
      <w:lvlJc w:val="left"/>
      <w:lvlText w:val="(%1)"/>
      <w:numFmt w:val="lowerLetter"/>
      <w:start w:val="1"/>
    </w:lvl>
    <w:lvl w:ilvl="1">
      <w:lvlJc w:val="left"/>
      <w:lvlText w:val="(%2)"/>
      <w:numFmt w:val="lowerRoman"/>
      <w:start w:val="1"/>
    </w:lvl>
  </w:abstractNum>
  <w:abstractNum w:abstractNumId="137">
    <w:nsid w:val="260D8C4A"/>
    <w:multiLevelType w:val="hybridMultilevel"/>
    <w:lvl w:ilvl="0">
      <w:lvlJc w:val="left"/>
      <w:lvlText w:val="(%1)"/>
      <w:numFmt w:val="upperLetter"/>
      <w:start w:val="1"/>
    </w:lvl>
  </w:abstractNum>
  <w:abstractNum w:abstractNumId="138">
    <w:nsid w:val="73D4D3C4"/>
    <w:multiLevelType w:val="hybridMultilevel"/>
    <w:lvl w:ilvl="0">
      <w:lvlJc w:val="left"/>
      <w:lvlText w:val="(%1)"/>
      <w:numFmt w:val="decimal"/>
      <w:start w:val="1"/>
    </w:lvl>
  </w:abstractNum>
  <w:abstractNum w:abstractNumId="139">
    <w:nsid w:val="746F2E30"/>
    <w:multiLevelType w:val="hybridMultilevel"/>
    <w:lvl w:ilvl="0">
      <w:lvlJc w:val="left"/>
      <w:lvlText w:val="(%1)"/>
      <w:numFmt w:val="lowerRoman"/>
      <w:start w:val="3"/>
    </w:lvl>
  </w:abstractNum>
  <w:abstractNum w:abstractNumId="140">
    <w:nsid w:val="6FDE8AF6"/>
    <w:multiLevelType w:val="hybridMultilevel"/>
    <w:lvl w:ilvl="0">
      <w:lvlJc w:val="left"/>
      <w:lvlText w:val="(%1)"/>
      <w:numFmt w:val="decimal"/>
      <w:start w:val="1"/>
    </w:lvl>
  </w:abstractNum>
  <w:abstractNum w:abstractNumId="141">
    <w:nsid w:val="3FC32E20"/>
    <w:multiLevelType w:val="hybridMultilevel"/>
    <w:lvl w:ilvl="0">
      <w:lvlJc w:val="left"/>
      <w:lvlText w:val="(%1)"/>
      <w:numFmt w:val="decimal"/>
      <w:start w:val="1"/>
    </w:lvl>
  </w:abstractNum>
  <w:abstractNum w:abstractNumId="142">
    <w:nsid w:val="49C0E823"/>
    <w:multiLevelType w:val="hybridMultilevel"/>
    <w:lvl w:ilvl="0">
      <w:lvlJc w:val="left"/>
      <w:lvlText w:val="(%1)"/>
      <w:numFmt w:val="decimal"/>
      <w:start w:val="2"/>
    </w:lvl>
  </w:abstractNum>
  <w:abstractNum w:abstractNumId="143">
    <w:nsid w:val="14D53685"/>
    <w:multiLevelType w:val="hybridMultilevel"/>
    <w:lvl w:ilvl="0">
      <w:lvlJc w:val="left"/>
      <w:lvlText w:val="(%1)"/>
      <w:numFmt w:val="decimal"/>
      <w:start w:val="1"/>
    </w:lvl>
  </w:abstractNum>
  <w:abstractNum w:abstractNumId="144">
    <w:nsid w:val="230F856C"/>
    <w:multiLevelType w:val="hybridMultilevel"/>
    <w:lvl w:ilvl="0">
      <w:lvlJc w:val="left"/>
      <w:lvlText w:val="(%1)"/>
      <w:numFmt w:val="decimal"/>
      <w:start w:val="3"/>
    </w:lvl>
  </w:abstractNum>
  <w:abstractNum w:abstractNumId="145">
    <w:nsid w:val="6EAA85FB"/>
    <w:multiLevelType w:val="hybridMultilevel"/>
    <w:lvl w:ilvl="0">
      <w:lvlJc w:val="left"/>
      <w:lvlText w:val="(%1)"/>
      <w:numFmt w:val="decimal"/>
      <w:start w:val="1"/>
    </w:lvl>
  </w:abstractNum>
  <w:abstractNum w:abstractNumId="146">
    <w:nsid w:val="3F06ECB2"/>
    <w:multiLevelType w:val="hybridMultilevel"/>
    <w:lvl w:ilvl="0">
      <w:lvlJc w:val="left"/>
      <w:lvlText w:val="(%1)"/>
      <w:numFmt w:val="decimal"/>
      <w:start w:val="1"/>
    </w:lvl>
  </w:abstractNum>
  <w:abstractNum w:abstractNumId="147">
    <w:nsid w:val="3B594807"/>
    <w:multiLevelType w:val="hybridMultilevel"/>
    <w:lvl w:ilvl="0">
      <w:lvlJc w:val="left"/>
      <w:lvlText w:val="(%1)"/>
      <w:numFmt w:val="decimal"/>
      <w:start w:val="1"/>
    </w:lvl>
  </w:abstractNum>
  <w:abstractNum w:abstractNumId="148">
    <w:nsid w:val="6CAA2304"/>
    <w:multiLevelType w:val="hybridMultilevel"/>
    <w:lvl w:ilvl="0">
      <w:lvlJc w:val="left"/>
      <w:lvlText w:val="(%1)"/>
      <w:numFmt w:val="decimal"/>
      <w:start w:val="1"/>
    </w:lvl>
  </w:abstractNum>
  <w:abstractNum w:abstractNumId="149">
    <w:nsid w:val="3F7C2FF4"/>
    <w:multiLevelType w:val="hybridMultilevel"/>
    <w:lvl w:ilvl="0">
      <w:lvlJc w:val="left"/>
      <w:lvlText w:val="(%1)"/>
      <w:numFmt w:val="decimal"/>
      <w:start w:val="1"/>
    </w:lvl>
  </w:abstractNum>
  <w:abstractNum w:abstractNumId="150">
    <w:nsid w:val="25413BEC"/>
    <w:multiLevelType w:val="hybridMultilevel"/>
    <w:lvl w:ilvl="0">
      <w:lvlJc w:val="left"/>
      <w:lvlText w:val="•"/>
      <w:numFmt w:val="bullet"/>
      <w:start w:val="1"/>
    </w:lvl>
  </w:abstractNum>
  <w:abstractNum w:abstractNumId="151">
    <w:nsid w:val="17180B0B"/>
    <w:multiLevelType w:val="hybridMultilevel"/>
    <w:lvl w:ilvl="0">
      <w:lvlJc w:val="left"/>
      <w:lvlText w:val="•"/>
      <w:numFmt w:val="bullet"/>
      <w:start w:val="1"/>
    </w:lvl>
  </w:abstractNum>
  <w:abstractNum w:abstractNumId="152">
    <w:nsid w:val="579328B9"/>
    <w:multiLevelType w:val="hybridMultilevel"/>
    <w:lvl w:ilvl="0">
      <w:lvlJc w:val="left"/>
      <w:lvlText w:val="•"/>
      <w:numFmt w:val="bullet"/>
      <w:start w:val="1"/>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1)"/>
      <w:numFmt w:val="decimal"/>
      <w:start w:val="1"/>
    </w:lvl>
  </w:abstractNum>
  <w:abstractNum w:abstractNumId="155">
    <w:nsid w:val="4D32AB86"/>
    <w:multiLevelType w:val="hybridMultilevel"/>
    <w:lvl w:ilvl="0">
      <w:lvlJc w:val="left"/>
      <w:lvlText w:val="•"/>
      <w:numFmt w:val="bullet"/>
      <w:start w:val="1"/>
    </w:lvl>
  </w:abstractNum>
  <w:abstractNum w:abstractNumId="156">
    <w:nsid w:val="3F07ACC3"/>
    <w:multiLevelType w:val="hybridMultilevel"/>
    <w:lvl w:ilvl="0">
      <w:lvlJc w:val="left"/>
      <w:lvlText w:val="(%1)"/>
      <w:numFmt w:val="decimal"/>
      <w:start w:val="425"/>
    </w:lvl>
  </w:abstractNum>
  <w:abstractNum w:abstractNumId="157">
    <w:nsid w:val="6B47F63E"/>
    <w:multiLevelType w:val="hybridMultilevel"/>
    <w:lvl w:ilvl="0">
      <w:lvlJc w:val="left"/>
      <w:lvlText w:val="•"/>
      <w:numFmt w:val="bullet"/>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
      <w:numFmt w:val="bullet"/>
      <w:start w:val="1"/>
    </w:lvl>
  </w:abstractNum>
  <w:abstractNum w:abstractNumId="160">
    <w:nsid w:val="1C695DEC"/>
    <w:multiLevelType w:val="hybridMultilevel"/>
    <w:lvl w:ilvl="0">
      <w:lvlJc w:val="left"/>
      <w:lvlText w:val="•"/>
      <w:numFmt w:val="bullet"/>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1)"/>
      <w:numFmt w:val="decimal"/>
      <w:start w:val="4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jpe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jpeg"/><Relationship Id="rId258" Type="http://schemas.openxmlformats.org/officeDocument/2006/relationships/image" Target="media/image219.png"/><Relationship Id="rId259" Type="http://schemas.openxmlformats.org/officeDocument/2006/relationships/image" Target="media/image220.png"/><Relationship Id="rId209" Type="http://schemas.openxmlformats.org/officeDocument/2006/relationships/hyperlink" Target="https://www.sec.gov/Archives/edgar/data/0001283699/000128369921000039/tmus-20201231.htm" TargetMode="External"/><Relationship Id="rId210" Type="http://schemas.openxmlformats.org/officeDocument/2006/relationships/hyperlink" Target="https://www.sec.gov/Archives/edgar/data/0001283699/000119312520113504/d783130ddef14a.htm" TargetMode="External"/><Relationship Id="rId211" Type="http://schemas.openxmlformats.org/officeDocument/2006/relationships/hyperlink" Target="https://www.sec.gov/Archives/edgar/data/1283699/000114036121001209/nt10018737x4_8k.htm" TargetMode="External"/><Relationship Id="rId212" Type="http://schemas.openxmlformats.org/officeDocument/2006/relationships/hyperlink" Target="https://www.sec.gov/Archives/edgar/data/0001283699/000119312521076354/d152529d8k.htm" TargetMode="External"/><Relationship Id="rId213" Type="http://schemas.openxmlformats.org/officeDocument/2006/relationships/hyperlink" Target="https://www.sec.gov/Archives/edgar/data/1283699/000114036121008606/nt10021707x3_8k.htm" TargetMode="External"/><Relationship Id="rId227" Type="http://schemas.openxmlformats.org/officeDocument/2006/relationships/hyperlink" Target="https://www.sec.gov/Archives/edgar/data/1283699/000128369920000026/tmus-20191231.htm" TargetMode="External"/><Relationship Id="rId228" Type="http://schemas.openxmlformats.org/officeDocument/2006/relationships/hyperlink" Target="https://www.sec.gov/Archives/edgar/data/1283699/000119312520113504/d783130ddef14a.htm" TargetMode="External"/><Relationship Id="rId229" Type="http://schemas.openxmlformats.org/officeDocument/2006/relationships/hyperlink" Target="https://www.sec.gov/Archives/edgar/data/1283699/000128369920000106/tmus-20200331.htm" TargetMode="External"/><Relationship Id="rId230" Type="http://schemas.openxmlformats.org/officeDocument/2006/relationships/hyperlink" Target="https://www.sec.gov/Archives/edgar/data/1283699/000128369920000165/tmus-20200630.htm" TargetMode="External"/><Relationship Id="rId231" Type="http://schemas.openxmlformats.org/officeDocument/2006/relationships/hyperlink" Target="https://www.sec.gov/Archives/edgar/data/1283699/000119312520214220/d87105d10qa.htm" TargetMode="External"/><Relationship Id="rId232" Type="http://schemas.openxmlformats.org/officeDocument/2006/relationships/hyperlink" Target="https://www.sec.gov/Archives/edgar/data/1283699/000119312520030768/d879296d8k.htm" TargetMode="External"/><Relationship Id="rId233" Type="http://schemas.openxmlformats.org/officeDocument/2006/relationships/hyperlink" Target="https://www.sec.gov/Archives/edgar/data/1283699/000119312520041926/d888203d8k.htm" TargetMode="External"/><Relationship Id="rId234" Type="http://schemas.openxmlformats.org/officeDocument/2006/relationships/hyperlink" Target="https://www.sec.gov/Archives/edgar/data/1283699/000119312520043713/d886254d8k.htm" TargetMode="External"/><Relationship Id="rId235" Type="http://schemas.openxmlformats.org/officeDocument/2006/relationships/hyperlink" Target="https://www.sec.gov/Archives/edgar/data/1283699/000119312520071678/d870009d8k.htm" TargetMode="External"/><Relationship Id="rId236" Type="http://schemas.openxmlformats.org/officeDocument/2006/relationships/hyperlink" Target="https://www.sec.gov/Archives/edgar/data/1283699/000119312520078392/d842591d8k.htm" TargetMode="External"/><Relationship Id="rId237" Type="http://schemas.openxmlformats.org/officeDocument/2006/relationships/hyperlink" Target="https://www.sec.gov/Archives/edgar/data/1283699/000128369920000064/tmus03252020form8-k.htm" TargetMode="External"/><Relationship Id="rId238" Type="http://schemas.openxmlformats.org/officeDocument/2006/relationships/hyperlink" Target="https://www.sec.gov/Archives/edgar/data/1283699/000114036120007620/nc10010559x1_8k.htm" TargetMode="External"/><Relationship Id="rId239" Type="http://schemas.openxmlformats.org/officeDocument/2006/relationships/hyperlink" Target="https://www.sec.gov/Archives/edgar/data/1283699/000128369920000084/tmus-20200401.htm" TargetMode="External"/><Relationship Id="rId240" Type="http://schemas.openxmlformats.org/officeDocument/2006/relationships/hyperlink" Target="https://www.sec.gov/Archives/edgar/data/1283699/000114036120007620/nc10010559x1_ex99-1.htm" TargetMode="External"/><Relationship Id="rId241" Type="http://schemas.openxmlformats.org/officeDocument/2006/relationships/hyperlink" Target="https://www.sec.gov/Archives/edgar/data/1283699/000114036120008648/nc10010559x2_8k.htm" TargetMode="External"/><Relationship Id="rId242" Type="http://schemas.openxmlformats.org/officeDocument/2006/relationships/hyperlink" Target="https://www.sec.gov/Archives/edgar/data/1283699/000119312520109354/d883806d8k.htm" TargetMode="External"/><Relationship Id="rId243" Type="http://schemas.openxmlformats.org/officeDocument/2006/relationships/hyperlink" Target="https://www.sec.gov/Archives/edgar/data/1283699/000119312520119230/d912727d8k.htm" TargetMode="External"/><Relationship Id="rId244" Type="http://schemas.openxmlformats.org/officeDocument/2006/relationships/hyperlink" Target="https://www.sec.gov/Archives/edgar/data/1283699/000128369920000112/tmus05182020form8-k.htm" TargetMode="External"/><Relationship Id="rId245" Type="http://schemas.openxmlformats.org/officeDocument/2006/relationships/hyperlink" Target="https://www.sec.gov/Archives/edgar/data/1283699/000119312520163527/d936135d8k.htm" TargetMode="External"/><Relationship Id="rId246" Type="http://schemas.openxmlformats.org/officeDocument/2006/relationships/hyperlink" Target="https://www.sec.gov/Archives/edgar/data/1283699/000119312520171403/d944984d8k.htm" TargetMode="External"/><Relationship Id="rId247" Type="http://schemas.openxmlformats.org/officeDocument/2006/relationships/hyperlink" Target="https://www.sec.gov/Archives/edgar/data/1283699/000114036120014081/nc10012662x1_8k.htm" TargetMode="External"/><Relationship Id="rId248" Type="http://schemas.openxmlformats.org/officeDocument/2006/relationships/hyperlink" Target="https://www.sec.gov/Archives/edgar/data/1283699/000114036120014904/nt10012922x6_8k.htm" TargetMode="External"/><Relationship Id="rId249" Type="http://schemas.openxmlformats.org/officeDocument/2006/relationships/hyperlink" Target="https://www.sec.gov/Archives/edgar/data/1283699/000119312520185168/d947824d8k.htm" TargetMode="External"/><Relationship Id="rId250" Type="http://schemas.openxmlformats.org/officeDocument/2006/relationships/hyperlink" Target="https://www.sec.gov/Archives/edgar/data/1283699/000114036120016790/nc10013758x1_8k.htm" TargetMode="External"/><Relationship Id="rId251" Type="http://schemas.openxmlformats.org/officeDocument/2006/relationships/hyperlink" Target="https://www.sec.gov/Archives/edgar/data/1283699/000114036120017381/nc10013758x2_8k.htm" TargetMode="External"/><Relationship Id="rId252" Type="http://schemas.openxmlformats.org/officeDocument/2006/relationships/hyperlink" Target="https://www.sec.gov/Archives/edgar/data/1283699/000114036120020744/nt10014532x4_8k.htm" TargetMode="External"/><Relationship Id="rId253" Type="http://schemas.openxmlformats.org/officeDocument/2006/relationships/hyperlink" Target="https://www.sec.gov/Archives/edgar/data/1283699/000114036120020891/nt10014532x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2021-03-18T16:05:58Z</dcterms:created>
  <dcterms:modified xsi:type="dcterms:W3CDTF">2021-03-18T16:05:58Z</dcterms:modified>
</cp:coreProperties>
</file>