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0" w:lineRule="exact"/>
        <w:rPr>
          <w:sz w:val="24"/>
          <w:szCs w:val="24"/>
          <w:color w:val="auto"/>
        </w:rPr>
      </w:pPr>
    </w:p>
    <w:p>
      <w:pPr>
        <w:ind w:left="660" w:right="1800" w:hanging="652"/>
        <w:spacing w:after="0" w:line="263" w:lineRule="auto"/>
        <w:tabs>
          <w:tab w:leader="none" w:pos="64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2026</w:t>
      </w:r>
    </w:p>
    <w:p>
      <w:pPr>
        <w:ind w:left="66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18"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 w:lineRule="exact"/>
        <w:rPr>
          <w:sz w:val="24"/>
          <w:szCs w:val="24"/>
          <w:color w:val="auto"/>
        </w:rPr>
      </w:pPr>
    </w:p>
    <w:p>
      <w:pPr>
        <w:ind w:left="660"/>
        <w:spacing w:after="0"/>
        <w:tabs>
          <w:tab w:leader="none" w:pos="30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Commission File Number: 1-33409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6985</wp:posOffset>
            </wp:positionV>
            <wp:extent cx="156845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845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T-MOBILE US, INC.</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120"/>
          </w:cols>
          <w:pgMar w:left="320" w:top="229" w:right="459" w:bottom="1440" w:gutter="0" w:footer="0" w:header="0"/>
        </w:sectPr>
      </w:pPr>
    </w:p>
    <w:p>
      <w:pPr>
        <w:spacing w:after="0" w:line="43"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20-0836269</w:t>
      </w:r>
    </w:p>
    <w:p>
      <w:pPr>
        <w:spacing w:after="0" w:line="63" w:lineRule="exact"/>
        <w:rPr>
          <w:sz w:val="24"/>
          <w:szCs w:val="24"/>
          <w:color w:val="auto"/>
        </w:rPr>
      </w:pPr>
    </w:p>
    <w:p>
      <w:pPr>
        <w:sectPr>
          <w:pgSz w:w="11900" w:h="16838" w:orient="portrait"/>
          <w:cols w:equalWidth="0" w:num="2">
            <w:col w:w="7320" w:space="720"/>
            <w:col w:w="3080"/>
          </w:cols>
          <w:pgMar w:left="320" w:top="229" w:right="45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00" w:space="720"/>
            <w:col w:w="3900"/>
          </w:cols>
          <w:pgMar w:left="320" w:top="229" w:right="459" w:bottom="1440" w:gutter="0" w:footer="0" w:header="0"/>
          <w:type w:val="continuous"/>
        </w:sectPr>
      </w:pPr>
    </w:p>
    <w:p>
      <w:pPr>
        <w:spacing w:after="0" w:line="1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12920 SE 38th Street</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Bellevue, Washington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98006-1350</w:t>
      </w:r>
    </w:p>
    <w:p>
      <w:pPr>
        <w:spacing w:after="0" w:line="7"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7"/>
          <w:szCs w:val="17"/>
          <w:color w:val="auto"/>
        </w:rPr>
        <w:t>(Zip Code)</w:t>
      </w:r>
    </w:p>
    <w:p>
      <w:pPr>
        <w:spacing w:after="0" w:line="3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(425) 378-4000</w:t>
      </w:r>
    </w:p>
    <w:p>
      <w:pPr>
        <w:sectPr>
          <w:pgSz w:w="11900" w:h="16838" w:orient="portrait"/>
          <w:cols w:equalWidth="0" w:num="1">
            <w:col w:w="11120"/>
          </w:cols>
          <w:pgMar w:left="320" w:top="229" w:right="459" w:bottom="1440" w:gutter="0" w:footer="0" w:header="0"/>
          <w:type w:val="continuous"/>
        </w:sectPr>
      </w:pP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69" w:lineRule="exact"/>
        <w:rPr>
          <w:sz w:val="24"/>
          <w:szCs w:val="24"/>
          <w:color w:val="auto"/>
        </w:rPr>
      </w:pPr>
    </w:p>
    <w:tbl>
      <w:tblPr>
        <w:tblLayout w:type="fixed"/>
        <w:tblInd w:w="520" w:type="dxa"/>
        <w:tblCellMar>
          <w:top w:w="0" w:type="dxa"/>
          <w:left w:w="0" w:type="dxa"/>
          <w:bottom w:w="0" w:type="dxa"/>
          <w:right w:w="0" w:type="dxa"/>
        </w:tblCellMar>
      </w:tblPr>
      <w:tr>
        <w:trPr>
          <w:trHeight w:val="226"/>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rPr>
              <w:t>Common Stock, par value $0.00001 per share</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3.550% Senior Notes due 2029</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TMUS29</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3.700% Senior Notes due 2032</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TMUS32</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3.150% Senior Notes due 2032</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TMUS32A</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3.200% Senior Notes due 2032</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TMUS32B</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3.625% Senior Notes due 2035</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TMUS35</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3.850% Senior Notes due 2036</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TMUS36</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3.500% Senior Notes due 2037</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TMUS37</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3.900% Senior Notes due 2038</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TMUS38</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3.800% Senior Notes due 2045</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TMUS45</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w w:val="99"/>
              </w:rPr>
              <w:t>6.250% Senior Notes due 2069</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TMUSL</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55"/>
              <w:spacing w:after="0"/>
              <w:rPr>
                <w:sz w:val="20"/>
                <w:szCs w:val="20"/>
                <w:color w:val="auto"/>
              </w:rPr>
            </w:pPr>
            <w:r>
              <w:rPr>
                <w:rFonts w:ascii="Times New Roman" w:cs="Times New Roman" w:eastAsia="Times New Roman" w:hAnsi="Times New Roman"/>
                <w:sz w:val="17"/>
                <w:szCs w:val="17"/>
                <w:color w:val="auto"/>
              </w:rPr>
              <w:t>5.500% Senior Notes due March 2070</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TMUSZ</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43"/>
        </w:trPr>
        <w:tc>
          <w:tcPr>
            <w:tcW w:w="3780" w:type="dxa"/>
            <w:vAlign w:val="bottom"/>
          </w:tcPr>
          <w:p>
            <w:pPr>
              <w:jc w:val="center"/>
              <w:ind w:right="575"/>
              <w:spacing w:after="0"/>
              <w:rPr>
                <w:sz w:val="20"/>
                <w:szCs w:val="20"/>
                <w:color w:val="auto"/>
              </w:rPr>
            </w:pPr>
            <w:r>
              <w:rPr>
                <w:rFonts w:ascii="Times New Roman" w:cs="Times New Roman" w:eastAsia="Times New Roman" w:hAnsi="Times New Roman"/>
                <w:sz w:val="17"/>
                <w:szCs w:val="17"/>
                <w:color w:val="auto"/>
              </w:rPr>
              <w:t>5.500% Senior Notes due June 2070</w:t>
            </w:r>
          </w:p>
        </w:tc>
        <w:tc>
          <w:tcPr>
            <w:tcW w:w="2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TMUSI</w:t>
            </w:r>
          </w:p>
        </w:tc>
        <w:tc>
          <w:tcPr>
            <w:tcW w:w="3800" w:type="dxa"/>
            <w:vAlign w:val="bottom"/>
          </w:tcPr>
          <w:p>
            <w:pPr>
              <w:jc w:val="center"/>
              <w:ind w:left="555"/>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321"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2"/>
        </w:trPr>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vMerge w:val="restart"/>
          </w:tcPr>
          <w:p>
            <w:pPr>
              <w:ind w:left="2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2620" w:type="dxa"/>
            <w:vAlign w:val="bottom"/>
            <w:vMerge w:val="continue"/>
          </w:tcPr>
          <w:p>
            <w:pPr>
              <w:spacing w:after="0"/>
              <w:rPr>
                <w:sz w:val="7"/>
                <w:szCs w:val="7"/>
                <w:color w:val="auto"/>
              </w:rPr>
            </w:pPr>
          </w:p>
        </w:tc>
        <w:tc>
          <w:tcPr>
            <w:tcW w:w="4600" w:type="dxa"/>
            <w:vAlign w:val="bottom"/>
            <w:vMerge w:val="continue"/>
          </w:tcPr>
          <w:p>
            <w:pPr>
              <w:spacing w:after="0"/>
              <w:rPr>
                <w:sz w:val="7"/>
                <w:szCs w:val="7"/>
                <w:color w:val="auto"/>
              </w:rPr>
            </w:pPr>
          </w:p>
        </w:tc>
        <w:tc>
          <w:tcPr>
            <w:tcW w:w="60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10"/>
        </w:trPr>
        <w:tc>
          <w:tcPr>
            <w:tcW w:w="19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right="18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w:t>
            </w:r>
          </w:p>
        </w:tc>
        <w:tc>
          <w:tcPr>
            <w:tcW w:w="5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Shares Outstanding as of October 23, 2026</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par value $0.00001 per share</w:t>
            </w:r>
          </w:p>
        </w:tc>
        <w:tc>
          <w:tcPr>
            <w:tcW w:w="5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1,059,272,571</w:t>
            </w:r>
          </w:p>
        </w:tc>
      </w:tr>
      <w:tr>
        <w:trPr>
          <w:trHeight w:val="1508"/>
        </w:trPr>
        <w:tc>
          <w:tcPr>
            <w:tcW w:w="57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740" w:type="dxa"/>
            <w:vAlign w:val="bottom"/>
            <w:gridSpan w:val="7"/>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0" w:type="dxa"/>
            <w:vAlign w:val="bottom"/>
            <w:gridSpan w:val="2"/>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3080" w:type="dxa"/>
            <w:vAlign w:val="bottom"/>
            <w:gridSpan w:val="2"/>
          </w:tcPr>
          <w:p>
            <w:pPr>
              <w:spacing w:after="0"/>
              <w:rPr>
                <w:sz w:val="19"/>
                <w:szCs w:val="19"/>
                <w:color w:val="auto"/>
              </w:rPr>
            </w:pP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080" w:type="dxa"/>
            <w:vAlign w:val="bottom"/>
            <w:gridSpan w:val="2"/>
          </w:tcPr>
          <w:p>
            <w:pPr>
              <w:spacing w:after="0"/>
              <w:rPr>
                <w:sz w:val="19"/>
                <w:szCs w:val="19"/>
                <w:color w:val="auto"/>
              </w:rPr>
            </w:pP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w:t>
            </w:r>
          </w:p>
        </w:tc>
        <w:tc>
          <w:tcPr>
            <w:tcW w:w="3340" w:type="dxa"/>
            <w:vAlign w:val="bottom"/>
            <w:gridSpan w:val="3"/>
          </w:tcPr>
          <w:p>
            <w:pPr>
              <w:spacing w:after="0"/>
              <w:rPr>
                <w:sz w:val="19"/>
                <w:szCs w:val="19"/>
                <w:color w:val="auto"/>
              </w:rPr>
            </w:pPr>
          </w:p>
        </w:tc>
        <w:tc>
          <w:tcPr>
            <w:tcW w:w="16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3600" w:type="dxa"/>
            <w:vAlign w:val="bottom"/>
            <w:gridSpan w:val="5"/>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600" w:type="dxa"/>
            <w:vAlign w:val="bottom"/>
            <w:gridSpan w:val="2"/>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5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2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6980" w:type="dxa"/>
            <w:vAlign w:val="bottom"/>
            <w:gridSpan w:val="14"/>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00" w:type="dxa"/>
            <w:vAlign w:val="bottom"/>
            <w:gridSpan w:val="2"/>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80" w:type="dxa"/>
            <w:vAlign w:val="bottom"/>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2"/>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2"/>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2"/>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56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600" w:type="dxa"/>
            <w:vAlign w:val="bottom"/>
            <w:gridSpan w:val="2"/>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40" w:type="dxa"/>
            <w:vAlign w:val="bottom"/>
          </w:tcPr>
          <w:p>
            <w:pPr>
              <w:spacing w:after="0"/>
              <w:rPr>
                <w:sz w:val="19"/>
                <w:szCs w:val="19"/>
                <w:color w:val="auto"/>
              </w:rPr>
            </w:pPr>
          </w:p>
        </w:tc>
      </w:tr>
      <w:tr>
        <w:trPr>
          <w:trHeight w:val="885"/>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3500" w:type="dxa"/>
            <w:vAlign w:val="bottom"/>
            <w:gridSpan w:val="10"/>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331470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18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20" w:type="dxa"/>
            <w:vAlign w:val="bottom"/>
          </w:tcPr>
          <w:p>
            <w:pPr>
              <w:spacing w:after="0"/>
              <w:rPr>
                <w:sz w:val="14"/>
                <w:szCs w:val="14"/>
                <w:color w:val="auto"/>
              </w:rPr>
            </w:pPr>
          </w:p>
        </w:tc>
        <w:tc>
          <w:tcPr>
            <w:tcW w:w="18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0"/>
        </w:trPr>
        <w:tc>
          <w:tcPr>
            <w:tcW w:w="8240" w:type="dxa"/>
            <w:vAlign w:val="bottom"/>
            <w:vMerge w:val="continue"/>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300" w:type="dxa"/>
            <w:vAlign w:val="bottom"/>
            <w:tcBorders>
              <w:bottom w:val="single" w:sz="8" w:color="DDDDDD"/>
            </w:tcBorders>
            <w:gridSpan w:val="2"/>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$251 and $226</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Equipment installment plan receivables, net of allowance for credit losses and unamortized discount of $723 and $733</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c>
          <w:tcPr>
            <w:tcW w:w="0" w:type="dxa"/>
            <w:vAlign w:val="bottom"/>
          </w:tcPr>
          <w:p>
            <w:pPr>
              <w:spacing w:after="0"/>
              <w:rPr>
                <w:sz w:val="1"/>
                <w:szCs w:val="1"/>
                <w:color w:val="auto"/>
              </w:rPr>
            </w:pPr>
          </w:p>
        </w:tc>
      </w:tr>
      <w:tr>
        <w:trPr>
          <w:trHeight w:val="23"/>
        </w:trPr>
        <w:tc>
          <w:tcPr>
            <w:tcW w:w="824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40" w:type="dxa"/>
            <w:vAlign w:val="bottom"/>
            <w:tcBorders>
              <w:bottom w:val="single" w:sz="8" w:color="DDDDDD"/>
            </w:tcBorders>
            <w:shd w:val="clear" w:color="auto" w:fill="DDDDDD"/>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21,842</w:t>
            </w:r>
          </w:p>
        </w:tc>
        <w:tc>
          <w:tcPr>
            <w:tcW w:w="12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24,461</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36,035</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38,333</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24,208</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25,692</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lease right-of-use assets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13,665</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13,678</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licenses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98,032</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installment plan receivables due after one year, net of allowance for credit losses and unamortized discount of $199 and $213</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8,864</w:t>
            </w:r>
          </w:p>
        </w:tc>
        <w:tc>
          <w:tcPr>
            <w:tcW w:w="12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0" w:type="dxa"/>
            <w:vAlign w:val="bottom"/>
          </w:tcPr>
          <w:p>
            <w:pPr>
              <w:spacing w:after="0"/>
              <w:rPr>
                <w:sz w:val="1"/>
                <w:szCs w:val="1"/>
                <w:color w:val="auto"/>
              </w:rPr>
            </w:pPr>
          </w:p>
        </w:tc>
      </w:tr>
      <w:tr>
        <w:trPr>
          <w:trHeight w:val="217"/>
        </w:trPr>
        <w:tc>
          <w:tcPr>
            <w:tcW w:w="8240" w:type="dxa"/>
            <w:vAlign w:val="bottom"/>
            <w:tcBorders>
              <w:bottom w:val="single" w:sz="8" w:color="DDDDDD"/>
            </w:tcBorders>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213,104</w:t>
            </w:r>
          </w:p>
        </w:tc>
        <w:tc>
          <w:tcPr>
            <w:tcW w:w="120" w:type="dxa"/>
            <w:vAlign w:val="bottom"/>
            <w:tcBorders>
              <w:bottom w:val="single" w:sz="8" w:color="DDDDDD"/>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219,237</w:t>
            </w:r>
          </w:p>
        </w:tc>
        <w:tc>
          <w:tcPr>
            <w:tcW w:w="0" w:type="dxa"/>
            <w:vAlign w:val="bottom"/>
          </w:tcPr>
          <w:p>
            <w:pPr>
              <w:spacing w:after="0"/>
              <w:rPr>
                <w:sz w:val="1"/>
                <w:szCs w:val="1"/>
                <w:color w:val="auto"/>
              </w:rPr>
            </w:pPr>
          </w:p>
        </w:tc>
      </w:tr>
      <w:tr>
        <w:trPr>
          <w:trHeight w:val="183"/>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DDDDDD"/>
            </w:tcBorders>
            <w:shd w:val="clear" w:color="auto" w:fill="DDDDDD"/>
          </w:tcPr>
          <w:p>
            <w:pPr>
              <w:spacing w:after="0"/>
              <w:rPr>
                <w:sz w:val="15"/>
                <w:szCs w:val="15"/>
                <w:color w:val="auto"/>
              </w:rPr>
            </w:pPr>
          </w:p>
        </w:tc>
        <w:tc>
          <w:tcPr>
            <w:tcW w:w="124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180" w:type="dxa"/>
            <w:vAlign w:val="bottom"/>
            <w:tcBorders>
              <w:bottom w:val="single" w:sz="8" w:color="DDDDDD"/>
            </w:tcBorders>
            <w:shd w:val="clear" w:color="auto" w:fill="DDDDDD"/>
          </w:tcPr>
          <w:p>
            <w:pPr>
              <w:spacing w:after="0"/>
              <w:rPr>
                <w:sz w:val="15"/>
                <w:szCs w:val="15"/>
                <w:color w:val="auto"/>
              </w:rPr>
            </w:pPr>
          </w:p>
        </w:tc>
        <w:tc>
          <w:tcPr>
            <w:tcW w:w="124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tcBorders>
              <w:bottom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8,624</w:t>
            </w:r>
          </w:p>
        </w:tc>
        <w:tc>
          <w:tcPr>
            <w:tcW w:w="300" w:type="dxa"/>
            <w:vAlign w:val="bottom"/>
            <w:tcBorders>
              <w:bottom w:val="single" w:sz="8" w:color="DDDDDD"/>
            </w:tcBorders>
            <w:gridSpan w:val="2"/>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debt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operating lease liabilities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Short-term financing lease liabilities</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0" w:type="dxa"/>
            <w:vAlign w:val="bottom"/>
          </w:tcPr>
          <w:p>
            <w:pPr>
              <w:spacing w:after="0"/>
              <w:rPr>
                <w:sz w:val="1"/>
                <w:szCs w:val="1"/>
                <w:color w:val="auto"/>
              </w:rPr>
            </w:pPr>
          </w:p>
        </w:tc>
      </w:tr>
      <w:tr>
        <w:trPr>
          <w:trHeight w:val="23"/>
        </w:trPr>
        <w:tc>
          <w:tcPr>
            <w:tcW w:w="824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DDDDDD"/>
            </w:tcBorders>
            <w:shd w:val="clear" w:color="auto" w:fill="DDDDDD"/>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23,991</w:t>
            </w:r>
          </w:p>
        </w:tc>
        <w:tc>
          <w:tcPr>
            <w:tcW w:w="12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24,500</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77,323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79,649</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Long-term debt to affiliates</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Tower obligations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21,715</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19,583</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Financing lease liabilities</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0" w:type="dxa"/>
            <w:vAlign w:val="bottom"/>
          </w:tcPr>
          <w:p>
            <w:pPr>
              <w:spacing w:after="0"/>
              <w:rPr>
                <w:sz w:val="1"/>
                <w:szCs w:val="1"/>
                <w:color w:val="auto"/>
              </w:rPr>
            </w:pPr>
          </w:p>
        </w:tc>
      </w:tr>
      <w:tr>
        <w:trPr>
          <w:trHeight w:val="23"/>
        </w:trPr>
        <w:tc>
          <w:tcPr>
            <w:tcW w:w="824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DDDDDD"/>
            </w:tcBorders>
            <w:shd w:val="clear" w:color="auto" w:fill="DDDDDD"/>
          </w:tcPr>
          <w:p>
            <w:pPr>
              <w:ind w:left="46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132,806</w:t>
            </w:r>
          </w:p>
        </w:tc>
        <w:tc>
          <w:tcPr>
            <w:tcW w:w="12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135,534</w:t>
            </w:r>
          </w:p>
        </w:tc>
        <w:tc>
          <w:tcPr>
            <w:tcW w:w="0" w:type="dxa"/>
            <w:vAlign w:val="bottom"/>
          </w:tcPr>
          <w:p>
            <w:pPr>
              <w:spacing w:after="0"/>
              <w:rPr>
                <w:sz w:val="1"/>
                <w:szCs w:val="1"/>
                <w:color w:val="auto"/>
              </w:rPr>
            </w:pPr>
          </w:p>
        </w:tc>
      </w:tr>
      <w:tr>
        <w:trPr>
          <w:trHeight w:val="17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24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Common stock, par value $0.00001 per share, 2,000,000,000 shares authorized; 1,280,056,882 and 1,275,774,235 shares issued,</w:t>
            </w: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1,062,845,266 and 1,106,930,661 shares outstanding</w:t>
            </w: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70,089</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69,460</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Treasury stock, at cost, 217,211,616 and 168,843,574 shares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(30,545)</w:t>
            </w:r>
          </w:p>
        </w:tc>
        <w:tc>
          <w:tcPr>
            <w:tcW w:w="0" w:type="dxa"/>
            <w:vAlign w:val="bottom"/>
          </w:tcPr>
          <w:p>
            <w:pPr>
              <w:spacing w:after="0"/>
              <w:rPr>
                <w:sz w:val="1"/>
                <w:szCs w:val="1"/>
                <w:color w:val="auto"/>
              </w:rPr>
            </w:pPr>
          </w:p>
        </w:tc>
      </w:tr>
      <w:tr>
        <w:trPr>
          <w:trHeight w:val="24"/>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193"/>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21,136</w:t>
            </w:r>
          </w:p>
        </w:tc>
        <w:tc>
          <w:tcPr>
            <w:tcW w:w="0" w:type="dxa"/>
            <w:vAlign w:val="bottom"/>
          </w:tcPr>
          <w:p>
            <w:pPr>
              <w:spacing w:after="0"/>
              <w:rPr>
                <w:sz w:val="1"/>
                <w:szCs w:val="1"/>
                <w:color w:val="auto"/>
              </w:rPr>
            </w:pPr>
          </w:p>
        </w:tc>
      </w:tr>
      <w:tr>
        <w:trPr>
          <w:trHeight w:val="24"/>
        </w:trPr>
        <w:tc>
          <w:tcPr>
            <w:tcW w:w="824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DDDDDD"/>
            </w:tcBorders>
            <w:shd w:val="clear" w:color="auto" w:fill="DDDDDD"/>
          </w:tcPr>
          <w:p>
            <w:pPr>
              <w:ind w:left="4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56,307</w:t>
            </w:r>
          </w:p>
        </w:tc>
        <w:tc>
          <w:tcPr>
            <w:tcW w:w="12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spacing w:after="0"/>
              <w:rPr>
                <w:sz w:val="18"/>
                <w:szCs w:val="18"/>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59,203</w:t>
            </w:r>
          </w:p>
        </w:tc>
        <w:tc>
          <w:tcPr>
            <w:tcW w:w="0" w:type="dxa"/>
            <w:vAlign w:val="bottom"/>
          </w:tcPr>
          <w:p>
            <w:pPr>
              <w:spacing w:after="0"/>
              <w:rPr>
                <w:sz w:val="1"/>
                <w:szCs w:val="1"/>
                <w:color w:val="auto"/>
              </w:rPr>
            </w:pPr>
          </w:p>
        </w:tc>
      </w:tr>
      <w:tr>
        <w:trPr>
          <w:trHeight w:val="216"/>
        </w:trPr>
        <w:tc>
          <w:tcPr>
            <w:tcW w:w="82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213,104</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-6223000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20" w:type="dxa"/>
            <w:vAlign w:val="bottom"/>
            <w:shd w:val="clear" w:color="auto" w:fill="E20074"/>
          </w:tcPr>
          <w:p>
            <w:pPr>
              <w:spacing w:after="0"/>
              <w:rPr>
                <w:sz w:val="19"/>
                <w:szCs w:val="19"/>
                <w:color w:val="auto"/>
              </w:rPr>
            </w:pPr>
          </w:p>
        </w:tc>
        <w:tc>
          <w:tcPr>
            <w:tcW w:w="2740" w:type="dxa"/>
            <w:vAlign w:val="bottom"/>
            <w:gridSpan w:val="4"/>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Three Months Ended September 30,</w:t>
            </w:r>
          </w:p>
        </w:tc>
        <w:tc>
          <w:tcPr>
            <w:tcW w:w="100" w:type="dxa"/>
            <w:vAlign w:val="bottom"/>
          </w:tcPr>
          <w:p>
            <w:pPr>
              <w:spacing w:after="0"/>
              <w:rPr>
                <w:sz w:val="19"/>
                <w:szCs w:val="19"/>
                <w:color w:val="auto"/>
              </w:rPr>
            </w:pPr>
          </w:p>
        </w:tc>
        <w:tc>
          <w:tcPr>
            <w:tcW w:w="260" w:type="dxa"/>
            <w:vAlign w:val="bottom"/>
            <w:shd w:val="clear" w:color="auto" w:fill="E20074"/>
          </w:tcPr>
          <w:p>
            <w:pPr>
              <w:spacing w:after="0"/>
              <w:rPr>
                <w:sz w:val="19"/>
                <w:szCs w:val="19"/>
                <w:color w:val="auto"/>
              </w:rPr>
            </w:pPr>
          </w:p>
        </w:tc>
        <w:tc>
          <w:tcPr>
            <w:tcW w:w="2720" w:type="dxa"/>
            <w:vAlign w:val="bottom"/>
            <w:gridSpan w:val="4"/>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220" w:type="dxa"/>
            <w:vAlign w:val="bottom"/>
            <w:tcBorders>
              <w:bottom w:val="single" w:sz="8" w:color="E20074"/>
            </w:tcBorders>
            <w:shd w:val="clear" w:color="auto" w:fill="E20074"/>
          </w:tcPr>
          <w:p>
            <w:pPr>
              <w:spacing w:after="0"/>
              <w:rPr>
                <w:sz w:val="18"/>
                <w:szCs w:val="18"/>
                <w:color w:val="auto"/>
              </w:rPr>
            </w:pPr>
          </w:p>
        </w:tc>
        <w:tc>
          <w:tcPr>
            <w:tcW w:w="120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8"/>
                <w:szCs w:val="18"/>
                <w:color w:val="auto"/>
              </w:rPr>
            </w:pPr>
          </w:p>
        </w:tc>
        <w:tc>
          <w:tcPr>
            <w:tcW w:w="300" w:type="dxa"/>
            <w:vAlign w:val="bottom"/>
            <w:tcBorders>
              <w:bottom w:val="single" w:sz="8" w:color="E20074"/>
            </w:tcBorders>
            <w:shd w:val="clear" w:color="auto" w:fill="E20074"/>
          </w:tcPr>
          <w:p>
            <w:pPr>
              <w:spacing w:after="0"/>
              <w:rPr>
                <w:sz w:val="18"/>
                <w:szCs w:val="18"/>
                <w:color w:val="auto"/>
              </w:rPr>
            </w:pPr>
          </w:p>
        </w:tc>
        <w:tc>
          <w:tcPr>
            <w:tcW w:w="112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118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320" w:type="dxa"/>
            <w:vAlign w:val="bottom"/>
            <w:tcBorders>
              <w:bottom w:val="single" w:sz="8" w:color="E20074"/>
            </w:tcBorders>
            <w:shd w:val="clear" w:color="auto" w:fill="E20074"/>
          </w:tcPr>
          <w:p>
            <w:pPr>
              <w:spacing w:after="0"/>
              <w:rPr>
                <w:sz w:val="18"/>
                <w:szCs w:val="18"/>
                <w:color w:val="auto"/>
              </w:rPr>
            </w:pPr>
          </w:p>
        </w:tc>
        <w:tc>
          <w:tcPr>
            <w:tcW w:w="112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Postpaid revenues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16,269</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14,882</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47,751</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42,554</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Prepaid revenues</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and other service revenues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0" w:type="dxa"/>
            <w:vAlign w:val="bottom"/>
          </w:tcPr>
          <w:p>
            <w:pPr>
              <w:spacing w:after="0"/>
              <w:rPr>
                <w:sz w:val="1"/>
                <w:szCs w:val="1"/>
                <w:color w:val="auto"/>
              </w:rPr>
            </w:pPr>
          </w:p>
        </w:tc>
      </w:tr>
      <w:tr>
        <w:trPr>
          <w:trHeight w:val="23"/>
        </w:trPr>
        <w:tc>
          <w:tcPr>
            <w:tcW w:w="52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Total service revenues</w:t>
            </w:r>
          </w:p>
        </w:tc>
        <w:tc>
          <w:tcPr>
            <w:tcW w:w="22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120" w:type="dxa"/>
            <w:vAlign w:val="bottom"/>
            <w:tcBorders>
              <w:bottom w:val="single" w:sz="8" w:color="DDDDDD"/>
            </w:tcBorders>
            <w:shd w:val="clear" w:color="auto" w:fill="DDDDDD"/>
          </w:tcPr>
          <w:p>
            <w:pPr>
              <w:spacing w:after="0"/>
              <w:rPr>
                <w:sz w:val="16"/>
                <w:szCs w:val="16"/>
                <w:color w:val="auto"/>
              </w:rPr>
            </w:pPr>
          </w:p>
        </w:tc>
        <w:tc>
          <w:tcPr>
            <w:tcW w:w="300" w:type="dxa"/>
            <w:vAlign w:val="bottom"/>
            <w:tcBorders>
              <w:bottom w:val="single" w:sz="8" w:color="DDDDDD"/>
            </w:tcBorders>
            <w:shd w:val="clear" w:color="auto" w:fill="DDDDDD"/>
          </w:tcPr>
          <w:p>
            <w:pPr>
              <w:spacing w:after="0"/>
              <w:rPr>
                <w:sz w:val="16"/>
                <w:szCs w:val="16"/>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18,241</w:t>
            </w:r>
          </w:p>
        </w:tc>
        <w:tc>
          <w:tcPr>
            <w:tcW w:w="10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57,189</w:t>
            </w:r>
          </w:p>
        </w:tc>
        <w:tc>
          <w:tcPr>
            <w:tcW w:w="100" w:type="dxa"/>
            <w:vAlign w:val="bottom"/>
            <w:tcBorders>
              <w:bottom w:val="single" w:sz="8" w:color="DDDDDD"/>
            </w:tcBorders>
            <w:shd w:val="clear" w:color="auto" w:fill="DDDDDD"/>
          </w:tcPr>
          <w:p>
            <w:pPr>
              <w:spacing w:after="0"/>
              <w:rPr>
                <w:sz w:val="16"/>
                <w:szCs w:val="16"/>
                <w:color w:val="auto"/>
              </w:rPr>
            </w:pPr>
          </w:p>
        </w:tc>
        <w:tc>
          <w:tcPr>
            <w:tcW w:w="320" w:type="dxa"/>
            <w:vAlign w:val="bottom"/>
            <w:tcBorders>
              <w:bottom w:val="single" w:sz="8" w:color="DDDDDD"/>
            </w:tcBorders>
            <w:shd w:val="clear" w:color="auto" w:fill="DDDDDD"/>
          </w:tcPr>
          <w:p>
            <w:pPr>
              <w:spacing w:after="0"/>
              <w:rPr>
                <w:sz w:val="16"/>
                <w:szCs w:val="16"/>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52,604</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revenues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186"/>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23,584</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69,482</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63,975</w:t>
            </w:r>
          </w:p>
        </w:tc>
        <w:tc>
          <w:tcPr>
            <w:tcW w:w="0" w:type="dxa"/>
            <w:vAlign w:val="bottom"/>
          </w:tcPr>
          <w:p>
            <w:pPr>
              <w:spacing w:after="0"/>
              <w:rPr>
                <w:sz w:val="1"/>
                <w:szCs w:val="1"/>
                <w:color w:val="auto"/>
              </w:rPr>
            </w:pPr>
          </w:p>
        </w:tc>
      </w:tr>
      <w:tr>
        <w:trPr>
          <w:trHeight w:val="23"/>
        </w:trPr>
        <w:tc>
          <w:tcPr>
            <w:tcW w:w="52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tcBorders>
              <w:bottom w:val="single" w:sz="8" w:color="DDDDDD"/>
            </w:tcBorders>
            <w:shd w:val="clear" w:color="auto" w:fill="DDDDDD"/>
          </w:tcPr>
          <w:p>
            <w:pPr>
              <w:spacing w:after="0"/>
              <w:rPr>
                <w:sz w:val="15"/>
                <w:szCs w:val="15"/>
                <w:color w:val="auto"/>
              </w:rPr>
            </w:pPr>
          </w:p>
        </w:tc>
        <w:tc>
          <w:tcPr>
            <w:tcW w:w="120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11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2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 shown separately below</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8,192</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200" w:type="dxa"/>
            <w:vAlign w:val="bottom"/>
            <w:shd w:val="clear" w:color="auto" w:fill="DDDDDD"/>
          </w:tcPr>
          <w:p>
            <w:pPr>
              <w:ind w:left="20"/>
              <w:spacing w:after="0" w:line="153" w:lineRule="exact"/>
              <w:rPr>
                <w:sz w:val="20"/>
                <w:szCs w:val="20"/>
                <w:color w:val="auto"/>
              </w:rPr>
            </w:pPr>
            <w:r>
              <w:rPr>
                <w:rFonts w:ascii="Times New Roman" w:cs="Times New Roman" w:eastAsia="Times New Roman" w:hAnsi="Times New Roman"/>
                <w:sz w:val="14"/>
                <w:szCs w:val="14"/>
                <w:color w:val="auto"/>
              </w:rPr>
              <w:t>Cost of equipment sales, exclusive of depreciation and amortization shown separately</w:t>
            </w:r>
          </w:p>
        </w:tc>
        <w:tc>
          <w:tcPr>
            <w:tcW w:w="220" w:type="dxa"/>
            <w:vAlign w:val="bottom"/>
            <w:shd w:val="clear" w:color="auto" w:fill="DDDDDD"/>
          </w:tcPr>
          <w:p>
            <w:pPr>
              <w:spacing w:after="0"/>
              <w:rPr>
                <w:sz w:val="13"/>
                <w:szCs w:val="13"/>
                <w:color w:val="auto"/>
              </w:rPr>
            </w:pPr>
          </w:p>
        </w:tc>
        <w:tc>
          <w:tcPr>
            <w:tcW w:w="1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2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1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15,987</w:t>
            </w:r>
          </w:p>
        </w:tc>
        <w:tc>
          <w:tcPr>
            <w:tcW w:w="10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11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14,310</w:t>
            </w:r>
          </w:p>
        </w:tc>
        <w:tc>
          <w:tcPr>
            <w:tcW w:w="0" w:type="dxa"/>
            <w:vAlign w:val="bottom"/>
          </w:tcPr>
          <w:p>
            <w:pPr>
              <w:spacing w:after="0"/>
              <w:rPr>
                <w:sz w:val="1"/>
                <w:szCs w:val="1"/>
                <w:color w:val="auto"/>
              </w:rPr>
            </w:pPr>
          </w:p>
        </w:tc>
      </w:tr>
      <w:tr>
        <w:trPr>
          <w:trHeight w:val="198"/>
        </w:trPr>
        <w:tc>
          <w:tcPr>
            <w:tcW w:w="52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below</w:t>
            </w:r>
          </w:p>
        </w:tc>
        <w:tc>
          <w:tcPr>
            <w:tcW w:w="220" w:type="dxa"/>
            <w:vAlign w:val="bottom"/>
            <w:shd w:val="clear" w:color="auto" w:fill="DDDDDD"/>
          </w:tcPr>
          <w:p>
            <w:pPr>
              <w:spacing w:after="0"/>
              <w:rPr>
                <w:sz w:val="17"/>
                <w:szCs w:val="17"/>
                <w:color w:val="auto"/>
              </w:rPr>
            </w:pPr>
          </w:p>
        </w:tc>
        <w:tc>
          <w:tcPr>
            <w:tcW w:w="120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11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1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11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Impairment expense</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0" w:type="dxa"/>
            <w:vAlign w:val="bottom"/>
          </w:tcPr>
          <w:p>
            <w:pPr>
              <w:spacing w:after="0"/>
              <w:rPr>
                <w:sz w:val="1"/>
                <w:szCs w:val="1"/>
                <w:color w:val="auto"/>
              </w:rPr>
            </w:pPr>
          </w:p>
        </w:tc>
      </w:tr>
      <w:tr>
        <w:trPr>
          <w:trHeight w:val="23"/>
        </w:trPr>
        <w:tc>
          <w:tcPr>
            <w:tcW w:w="52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17,923</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17,427</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53,834</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49,432</w:t>
            </w:r>
          </w:p>
        </w:tc>
        <w:tc>
          <w:tcPr>
            <w:tcW w:w="0" w:type="dxa"/>
            <w:vAlign w:val="bottom"/>
          </w:tcPr>
          <w:p>
            <w:pPr>
              <w:spacing w:after="0"/>
              <w:rPr>
                <w:sz w:val="1"/>
                <w:szCs w:val="1"/>
                <w:color w:val="auto"/>
              </w:rPr>
            </w:pPr>
          </w:p>
        </w:tc>
      </w:tr>
      <w:tr>
        <w:trPr>
          <w:trHeight w:val="186"/>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5,661</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15,648</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14,543</w:t>
            </w:r>
          </w:p>
        </w:tc>
        <w:tc>
          <w:tcPr>
            <w:tcW w:w="0" w:type="dxa"/>
            <w:vAlign w:val="bottom"/>
          </w:tcPr>
          <w:p>
            <w:pPr>
              <w:spacing w:after="0"/>
              <w:rPr>
                <w:sz w:val="1"/>
                <w:szCs w:val="1"/>
                <w:color w:val="auto"/>
              </w:rPr>
            </w:pPr>
          </w:p>
        </w:tc>
      </w:tr>
      <w:tr>
        <w:trPr>
          <w:trHeight w:val="23"/>
        </w:trPr>
        <w:tc>
          <w:tcPr>
            <w:tcW w:w="52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220" w:type="dxa"/>
            <w:vAlign w:val="bottom"/>
            <w:tcBorders>
              <w:bottom w:val="single" w:sz="8" w:color="DDDDDD"/>
            </w:tcBorders>
            <w:shd w:val="clear" w:color="auto" w:fill="DDDDDD"/>
          </w:tcPr>
          <w:p>
            <w:pPr>
              <w:spacing w:after="0"/>
              <w:rPr>
                <w:sz w:val="15"/>
                <w:szCs w:val="15"/>
                <w:color w:val="auto"/>
              </w:rPr>
            </w:pPr>
          </w:p>
        </w:tc>
        <w:tc>
          <w:tcPr>
            <w:tcW w:w="120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11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2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6"/>
        </w:trPr>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 expense, net</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23"/>
        </w:trPr>
        <w:tc>
          <w:tcPr>
            <w:tcW w:w="52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2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20" w:type="dxa"/>
            <w:vAlign w:val="bottom"/>
            <w:tcBorders>
              <w:bottom w:val="single" w:sz="8" w:color="DDDDDD"/>
            </w:tcBorders>
            <w:shd w:val="clear" w:color="auto" w:fill="DDDDDD"/>
          </w:tcPr>
          <w:p>
            <w:pPr>
              <w:spacing w:after="0"/>
              <w:rPr>
                <w:sz w:val="16"/>
                <w:szCs w:val="16"/>
                <w:color w:val="auto"/>
              </w:rPr>
            </w:pPr>
          </w:p>
        </w:tc>
        <w:tc>
          <w:tcPr>
            <w:tcW w:w="300" w:type="dxa"/>
            <w:vAlign w:val="bottom"/>
            <w:tcBorders>
              <w:bottom w:val="single" w:sz="8" w:color="DDDDDD"/>
            </w:tcBorders>
            <w:shd w:val="clear" w:color="auto" w:fill="DDDDDD"/>
          </w:tcPr>
          <w:p>
            <w:pPr>
              <w:spacing w:after="0"/>
              <w:rPr>
                <w:sz w:val="16"/>
                <w:szCs w:val="16"/>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12,202</w:t>
            </w:r>
          </w:p>
        </w:tc>
        <w:tc>
          <w:tcPr>
            <w:tcW w:w="100" w:type="dxa"/>
            <w:vAlign w:val="bottom"/>
            <w:tcBorders>
              <w:bottom w:val="single" w:sz="8" w:color="DDDDDD"/>
            </w:tcBorders>
            <w:shd w:val="clear" w:color="auto" w:fill="DDDDDD"/>
          </w:tcPr>
          <w:p>
            <w:pPr>
              <w:spacing w:after="0"/>
              <w:rPr>
                <w:sz w:val="16"/>
                <w:szCs w:val="16"/>
                <w:color w:val="auto"/>
              </w:rPr>
            </w:pPr>
          </w:p>
        </w:tc>
        <w:tc>
          <w:tcPr>
            <w:tcW w:w="320" w:type="dxa"/>
            <w:vAlign w:val="bottom"/>
            <w:tcBorders>
              <w:bottom w:val="single" w:sz="8" w:color="DDDDDD"/>
            </w:tcBorders>
            <w:shd w:val="clear" w:color="auto" w:fill="DDDDDD"/>
          </w:tcPr>
          <w:p>
            <w:pPr>
              <w:spacing w:after="0"/>
              <w:rPr>
                <w:sz w:val="16"/>
                <w:szCs w:val="16"/>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0" w:type="dxa"/>
            <w:vAlign w:val="bottom"/>
          </w:tcPr>
          <w:p>
            <w:pPr>
              <w:spacing w:after="0"/>
              <w:rPr>
                <w:sz w:val="1"/>
                <w:szCs w:val="1"/>
                <w:color w:val="auto"/>
              </w:rPr>
            </w:pPr>
          </w:p>
        </w:tc>
      </w:tr>
      <w:tr>
        <w:trPr>
          <w:trHeight w:val="23"/>
        </w:trPr>
        <w:tc>
          <w:tcPr>
            <w:tcW w:w="52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420" w:type="dxa"/>
            <w:vAlign w:val="bottom"/>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360" w:type="dxa"/>
            <w:vAlign w:val="bottom"/>
            <w:gridSpan w:val="2"/>
            <w:shd w:val="clear" w:color="auto" w:fill="DDDDDD"/>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420" w:type="dxa"/>
            <w:vAlign w:val="bottom"/>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0" w:type="dxa"/>
            <w:vAlign w:val="bottom"/>
          </w:tcPr>
          <w:p>
            <w:pPr>
              <w:spacing w:after="0"/>
              <w:rPr>
                <w:sz w:val="1"/>
                <w:szCs w:val="1"/>
                <w:color w:val="auto"/>
              </w:rPr>
            </w:pPr>
          </w:p>
        </w:tc>
      </w:tr>
      <w:tr>
        <w:trPr>
          <w:trHeight w:val="203"/>
        </w:trPr>
        <w:tc>
          <w:tcPr>
            <w:tcW w:w="5200" w:type="dxa"/>
            <w:vAlign w:val="bottom"/>
            <w:tcBorders>
              <w:top w:val="single" w:sz="8" w:color="DDDDDD"/>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DDDDDD"/>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420" w:type="dxa"/>
            <w:vAlign w:val="bottom"/>
            <w:tcBorders>
              <w:bottom w:val="single" w:sz="8" w:color="DDDDDD"/>
            </w:tcBorders>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360" w:type="dxa"/>
            <w:vAlign w:val="bottom"/>
            <w:tcBorders>
              <w:bottom w:val="single" w:sz="8" w:color="DDDDDD"/>
            </w:tcBorders>
            <w:gridSpan w:val="2"/>
            <w:shd w:val="clear" w:color="auto" w:fill="DDDDDD"/>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420" w:type="dxa"/>
            <w:vAlign w:val="bottom"/>
            <w:tcBorders>
              <w:bottom w:val="single" w:sz="8" w:color="DDDDDD"/>
            </w:tcBorders>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Reclassification of loss from cash flow hedges, net of tax effect of $18, $16, $52 and $48</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(losses) on fair value hedges, net of tax effect of $9, $(7), $45 and $(55)</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200" w:type="dxa"/>
            <w:vAlign w:val="bottom"/>
            <w:shd w:val="clear" w:color="auto" w:fill="DDDDDD"/>
          </w:tcPr>
          <w:p>
            <w:pPr>
              <w:ind w:left="20"/>
              <w:spacing w:after="0" w:line="153" w:lineRule="exact"/>
              <w:rPr>
                <w:sz w:val="20"/>
                <w:szCs w:val="20"/>
                <w:color w:val="auto"/>
              </w:rPr>
            </w:pPr>
            <w:r>
              <w:rPr>
                <w:rFonts w:ascii="Times New Roman" w:cs="Times New Roman" w:eastAsia="Times New Roman" w:hAnsi="Times New Roman"/>
                <w:sz w:val="14"/>
                <w:szCs w:val="14"/>
                <w:color w:val="auto"/>
              </w:rPr>
              <w:t>Unrealized gain (loss) on foreign currency translation adjustment, net of tax effect of $1,</w:t>
            </w:r>
          </w:p>
        </w:tc>
        <w:tc>
          <w:tcPr>
            <w:tcW w:w="220" w:type="dxa"/>
            <w:vAlign w:val="bottom"/>
            <w:shd w:val="clear" w:color="auto" w:fill="DDDDDD"/>
          </w:tcPr>
          <w:p>
            <w:pPr>
              <w:spacing w:after="0"/>
              <w:rPr>
                <w:sz w:val="13"/>
                <w:szCs w:val="13"/>
                <w:color w:val="auto"/>
              </w:rPr>
            </w:pPr>
          </w:p>
        </w:tc>
        <w:tc>
          <w:tcPr>
            <w:tcW w:w="1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1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DDDDDD"/>
          </w:tcPr>
          <w:p>
            <w:pPr>
              <w:spacing w:after="0"/>
              <w:rPr>
                <w:sz w:val="13"/>
                <w:szCs w:val="13"/>
                <w:color w:val="auto"/>
              </w:rPr>
            </w:pPr>
          </w:p>
        </w:tc>
        <w:tc>
          <w:tcPr>
            <w:tcW w:w="320" w:type="dxa"/>
            <w:vAlign w:val="bottom"/>
            <w:shd w:val="clear" w:color="auto" w:fill="DDDDDD"/>
          </w:tcPr>
          <w:p>
            <w:pPr>
              <w:spacing w:after="0"/>
              <w:rPr>
                <w:sz w:val="13"/>
                <w:szCs w:val="13"/>
                <w:color w:val="auto"/>
              </w:rPr>
            </w:pPr>
          </w:p>
        </w:tc>
        <w:tc>
          <w:tcPr>
            <w:tcW w:w="11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52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$0, $1 and $0</w:t>
            </w:r>
          </w:p>
        </w:tc>
        <w:tc>
          <w:tcPr>
            <w:tcW w:w="220" w:type="dxa"/>
            <w:vAlign w:val="bottom"/>
            <w:shd w:val="clear" w:color="auto" w:fill="DDDDDD"/>
          </w:tcPr>
          <w:p>
            <w:pPr>
              <w:spacing w:after="0"/>
              <w:rPr>
                <w:sz w:val="17"/>
                <w:szCs w:val="17"/>
                <w:color w:val="auto"/>
              </w:rPr>
            </w:pPr>
          </w:p>
        </w:tc>
        <w:tc>
          <w:tcPr>
            <w:tcW w:w="120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11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1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11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Prior service cost, net of amortization, and amortization of actuarial gain, on pension and</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520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4"/>
                <w:szCs w:val="14"/>
                <w:color w:val="auto"/>
              </w:rPr>
              <w:t>other postretirement benefits, net of tax effect of $(13), $0, $(14) and $(1)</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0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DDDDDD"/>
            </w:tcBorders>
            <w:shd w:val="clear" w:color="auto" w:fill="DDDDDD"/>
          </w:tcPr>
          <w:p>
            <w:pPr>
              <w:spacing w:after="0"/>
              <w:rPr>
                <w:sz w:val="18"/>
                <w:szCs w:val="18"/>
                <w:color w:val="auto"/>
              </w:rPr>
            </w:pPr>
          </w:p>
        </w:tc>
        <w:tc>
          <w:tcPr>
            <w:tcW w:w="30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120" w:type="dxa"/>
            <w:vAlign w:val="bottom"/>
            <w:tcBorders>
              <w:bottom w:val="single" w:sz="8" w:color="DDDDDD"/>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Borders>
              <w:bottom w:val="single" w:sz="8" w:color="DDDDDD"/>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9,451</w:t>
            </w:r>
          </w:p>
        </w:tc>
        <w:tc>
          <w:tcPr>
            <w:tcW w:w="100" w:type="dxa"/>
            <w:vAlign w:val="bottom"/>
            <w:tcBorders>
              <w:bottom w:val="single" w:sz="8" w:color="DDDDDD"/>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8,865</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220" w:type="dxa"/>
            <w:vAlign w:val="bottom"/>
            <w:tcBorders>
              <w:bottom w:val="single" w:sz="8" w:color="DDDDDD"/>
            </w:tcBorders>
            <w:shd w:val="clear" w:color="auto" w:fill="DDDDDD"/>
          </w:tcPr>
          <w:p>
            <w:pPr>
              <w:spacing w:after="0"/>
              <w:rPr>
                <w:sz w:val="15"/>
                <w:szCs w:val="15"/>
                <w:color w:val="auto"/>
              </w:rPr>
            </w:pPr>
          </w:p>
        </w:tc>
        <w:tc>
          <w:tcPr>
            <w:tcW w:w="120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30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11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20" w:type="dxa"/>
            <w:vAlign w:val="bottom"/>
            <w:tcBorders>
              <w:bottom w:val="single" w:sz="8" w:color="DDDDDD"/>
            </w:tcBorders>
            <w:shd w:val="clear" w:color="auto" w:fill="DDDDDD"/>
          </w:tcPr>
          <w:p>
            <w:pPr>
              <w:spacing w:after="0"/>
              <w:rPr>
                <w:sz w:val="15"/>
                <w:szCs w:val="15"/>
                <w:color w:val="auto"/>
              </w:rPr>
            </w:pPr>
          </w:p>
        </w:tc>
        <w:tc>
          <w:tcPr>
            <w:tcW w:w="112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420" w:type="dxa"/>
            <w:vAlign w:val="bottom"/>
            <w:tcBorders>
              <w:bottom w:val="single" w:sz="8" w:color="DDDDDD"/>
            </w:tcBorders>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360" w:type="dxa"/>
            <w:vAlign w:val="bottom"/>
            <w:tcBorders>
              <w:bottom w:val="single" w:sz="8" w:color="DDDDDD"/>
            </w:tcBorders>
            <w:gridSpan w:val="2"/>
            <w:shd w:val="clear" w:color="auto" w:fill="DDDDDD"/>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420" w:type="dxa"/>
            <w:vAlign w:val="bottom"/>
            <w:tcBorders>
              <w:bottom w:val="single" w:sz="8" w:color="DDDDDD"/>
            </w:tcBorders>
            <w:gridSpan w:val="2"/>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shares outstanding</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1,070,648,134</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1,123,754,096</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1,084,089,790</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1,133,743,367</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1,071,630,434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1,126,627,708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1,085,476,683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1,136,920,521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220" w:type="dxa"/>
            <w:vAlign w:val="bottom"/>
            <w:shd w:val="clear" w:color="auto" w:fill="E20074"/>
          </w:tcPr>
          <w:p>
            <w:pPr>
              <w:spacing w:after="0"/>
              <w:rPr>
                <w:sz w:val="19"/>
                <w:szCs w:val="19"/>
                <w:color w:val="auto"/>
              </w:rPr>
            </w:pPr>
          </w:p>
        </w:tc>
        <w:tc>
          <w:tcPr>
            <w:tcW w:w="2740" w:type="dxa"/>
            <w:vAlign w:val="bottom"/>
            <w:gridSpan w:val="4"/>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Three Months Ended September 30,</w:t>
            </w:r>
          </w:p>
        </w:tc>
        <w:tc>
          <w:tcPr>
            <w:tcW w:w="100" w:type="dxa"/>
            <w:vAlign w:val="bottom"/>
          </w:tcPr>
          <w:p>
            <w:pPr>
              <w:spacing w:after="0"/>
              <w:rPr>
                <w:sz w:val="19"/>
                <w:szCs w:val="19"/>
                <w:color w:val="auto"/>
              </w:rPr>
            </w:pPr>
          </w:p>
        </w:tc>
        <w:tc>
          <w:tcPr>
            <w:tcW w:w="260" w:type="dxa"/>
            <w:vAlign w:val="bottom"/>
            <w:shd w:val="clear" w:color="auto" w:fill="E20074"/>
          </w:tcPr>
          <w:p>
            <w:pPr>
              <w:spacing w:after="0"/>
              <w:rPr>
                <w:sz w:val="19"/>
                <w:szCs w:val="19"/>
                <w:color w:val="auto"/>
              </w:rPr>
            </w:pPr>
          </w:p>
        </w:tc>
        <w:tc>
          <w:tcPr>
            <w:tcW w:w="2700" w:type="dxa"/>
            <w:vAlign w:val="bottom"/>
            <w:gridSpan w:val="4"/>
            <w:shd w:val="clear" w:color="auto" w:fill="E20074"/>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E20074"/>
            </w:tcBorders>
            <w:shd w:val="clear" w:color="auto" w:fill="E20074"/>
          </w:tcPr>
          <w:p>
            <w:pPr>
              <w:spacing w:after="0"/>
              <w:rPr>
                <w:sz w:val="18"/>
                <w:szCs w:val="18"/>
                <w:color w:val="auto"/>
              </w:rPr>
            </w:pPr>
          </w:p>
        </w:tc>
        <w:tc>
          <w:tcPr>
            <w:tcW w:w="120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110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118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320" w:type="dxa"/>
            <w:vAlign w:val="bottom"/>
            <w:tcBorders>
              <w:bottom w:val="single" w:sz="8" w:color="E20074"/>
            </w:tcBorders>
            <w:shd w:val="clear" w:color="auto" w:fill="E20074"/>
          </w:tcPr>
          <w:p>
            <w:pPr>
              <w:spacing w:after="0"/>
              <w:rPr>
                <w:sz w:val="18"/>
                <w:szCs w:val="18"/>
                <w:color w:val="auto"/>
              </w:rPr>
            </w:pPr>
          </w:p>
        </w:tc>
        <w:tc>
          <w:tcPr>
            <w:tcW w:w="110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Bad debt expense</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Losses from sales of receivables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Impairment expense</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93"/>
        </w:trPr>
        <w:tc>
          <w:tcPr>
            <w:tcW w:w="52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Equipment installment plan receivables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3"/>
        </w:trPr>
        <w:tc>
          <w:tcPr>
            <w:tcW w:w="52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auto"/>
              </w:rPr>
              <w:t>Other current and long-term assets</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93"/>
        </w:trPr>
        <w:tc>
          <w:tcPr>
            <w:tcW w:w="52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480"/>
              <w:spacing w:after="0"/>
              <w:rPr>
                <w:sz w:val="20"/>
                <w:szCs w:val="20"/>
                <w:color w:val="auto"/>
              </w:rPr>
            </w:pPr>
            <w:r>
              <w:rPr>
                <w:rFonts w:ascii="Times New Roman" w:cs="Times New Roman" w:eastAsia="Times New Roman" w:hAnsi="Times New Roman"/>
                <w:sz w:val="14"/>
                <w:szCs w:val="14"/>
                <w:color w:val="auto"/>
              </w:rPr>
              <w:t>Short- and long-term operating lease liabilities</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0" w:type="dxa"/>
            <w:vAlign w:val="bottom"/>
          </w:tcPr>
          <w:p>
            <w:pPr>
              <w:spacing w:after="0"/>
              <w:rPr>
                <w:sz w:val="1"/>
                <w:szCs w:val="1"/>
                <w:color w:val="auto"/>
              </w:rPr>
            </w:pPr>
          </w:p>
        </w:tc>
      </w:tr>
      <w:tr>
        <w:trPr>
          <w:trHeight w:val="193"/>
        </w:trPr>
        <w:tc>
          <w:tcPr>
            <w:tcW w:w="52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current and long-term liabilities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86"/>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22,063</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21,296</w:t>
            </w:r>
          </w:p>
        </w:tc>
        <w:tc>
          <w:tcPr>
            <w:tcW w:w="0" w:type="dxa"/>
            <w:vAlign w:val="bottom"/>
          </w:tcPr>
          <w:p>
            <w:pPr>
              <w:spacing w:after="0"/>
              <w:rPr>
                <w:sz w:val="1"/>
                <w:szCs w:val="1"/>
                <w:color w:val="auto"/>
              </w:rPr>
            </w:pPr>
          </w:p>
        </w:tc>
      </w:tr>
      <w:tr>
        <w:trPr>
          <w:trHeight w:val="23"/>
        </w:trPr>
        <w:tc>
          <w:tcPr>
            <w:tcW w:w="522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tcBorders>
              <w:bottom w:val="single" w:sz="8" w:color="DDDDDD"/>
            </w:tcBorders>
            <w:shd w:val="clear" w:color="auto" w:fill="DDDDDD"/>
          </w:tcPr>
          <w:p>
            <w:pPr>
              <w:spacing w:after="0"/>
              <w:rPr>
                <w:sz w:val="15"/>
                <w:szCs w:val="15"/>
                <w:color w:val="auto"/>
              </w:rPr>
            </w:pPr>
          </w:p>
        </w:tc>
        <w:tc>
          <w:tcPr>
            <w:tcW w:w="12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40" w:type="dxa"/>
            <w:vAlign w:val="bottom"/>
            <w:tcBorders>
              <w:bottom w:val="single" w:sz="8" w:color="DDDDDD"/>
            </w:tcBorders>
            <w:shd w:val="clear" w:color="auto" w:fill="DDDDDD"/>
          </w:tcPr>
          <w:p>
            <w:pPr>
              <w:spacing w:after="0"/>
              <w:rPr>
                <w:sz w:val="15"/>
                <w:szCs w:val="15"/>
                <w:color w:val="auto"/>
              </w:rPr>
            </w:pPr>
          </w:p>
        </w:tc>
        <w:tc>
          <w:tcPr>
            <w:tcW w:w="11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11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20" w:type="dxa"/>
            <w:vAlign w:val="bottom"/>
            <w:tcBorders>
              <w:bottom w:val="single" w:sz="8" w:color="DDDDDD"/>
            </w:tcBorders>
            <w:shd w:val="clear" w:color="auto" w:fill="DDDDDD"/>
          </w:tcPr>
          <w:p>
            <w:pPr>
              <w:spacing w:after="0"/>
              <w:rPr>
                <w:sz w:val="15"/>
                <w:szCs w:val="15"/>
                <w:color w:val="auto"/>
              </w:rPr>
            </w:pPr>
          </w:p>
        </w:tc>
        <w:tc>
          <w:tcPr>
            <w:tcW w:w="110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Purchases of property and equipment, including capitalized interest of $(7), $(13), $(20)</w:t>
            </w:r>
          </w:p>
        </w:tc>
        <w:tc>
          <w:tcPr>
            <w:tcW w:w="2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$(33)</w:t>
            </w:r>
          </w:p>
        </w:tc>
        <w:tc>
          <w:tcPr>
            <w:tcW w:w="2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Purchases of spectrum licenses and other intangible assets, including deposits</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equipment and intangible assets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Acquisition of companies, net of cash acquired</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 net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86"/>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(15,107)</w:t>
            </w:r>
          </w:p>
        </w:tc>
        <w:tc>
          <w:tcPr>
            <w:tcW w:w="0" w:type="dxa"/>
            <w:vAlign w:val="bottom"/>
          </w:tcPr>
          <w:p>
            <w:pPr>
              <w:spacing w:after="0"/>
              <w:rPr>
                <w:sz w:val="1"/>
                <w:szCs w:val="1"/>
                <w:color w:val="auto"/>
              </w:rPr>
            </w:pPr>
          </w:p>
        </w:tc>
      </w:tr>
      <w:tr>
        <w:trPr>
          <w:trHeight w:val="23"/>
        </w:trPr>
        <w:tc>
          <w:tcPr>
            <w:tcW w:w="522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tcBorders>
              <w:bottom w:val="single" w:sz="8" w:color="DDDDDD"/>
            </w:tcBorders>
            <w:shd w:val="clear" w:color="auto" w:fill="DDDDDD"/>
          </w:tcPr>
          <w:p>
            <w:pPr>
              <w:spacing w:after="0"/>
              <w:rPr>
                <w:sz w:val="15"/>
                <w:szCs w:val="15"/>
                <w:color w:val="auto"/>
              </w:rPr>
            </w:pPr>
          </w:p>
        </w:tc>
        <w:tc>
          <w:tcPr>
            <w:tcW w:w="12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40" w:type="dxa"/>
            <w:vAlign w:val="bottom"/>
            <w:tcBorders>
              <w:bottom w:val="single" w:sz="8" w:color="DDDDDD"/>
            </w:tcBorders>
            <w:shd w:val="clear" w:color="auto" w:fill="DDDDDD"/>
          </w:tcPr>
          <w:p>
            <w:pPr>
              <w:spacing w:after="0"/>
              <w:rPr>
                <w:sz w:val="15"/>
                <w:szCs w:val="15"/>
                <w:color w:val="auto"/>
              </w:rPr>
            </w:pPr>
          </w:p>
        </w:tc>
        <w:tc>
          <w:tcPr>
            <w:tcW w:w="11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11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20" w:type="dxa"/>
            <w:vAlign w:val="bottom"/>
            <w:tcBorders>
              <w:bottom w:val="single" w:sz="8" w:color="DDDDDD"/>
            </w:tcBorders>
            <w:shd w:val="clear" w:color="auto" w:fill="DDDDDD"/>
          </w:tcPr>
          <w:p>
            <w:pPr>
              <w:spacing w:after="0"/>
              <w:rPr>
                <w:sz w:val="15"/>
                <w:szCs w:val="15"/>
                <w:color w:val="auto"/>
              </w:rPr>
            </w:pPr>
          </w:p>
        </w:tc>
        <w:tc>
          <w:tcPr>
            <w:tcW w:w="110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long-term debt, net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8,266</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Repayments of financing lease obligations</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(9,564)</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(7,528)</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Tax withholdings on share-based awards</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3"/>
        </w:trPr>
        <w:tc>
          <w:tcPr>
            <w:tcW w:w="522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(16,470)</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0" w:type="dxa"/>
            <w:vAlign w:val="bottom"/>
          </w:tcPr>
          <w:p>
            <w:pPr>
              <w:spacing w:after="0"/>
              <w:rPr>
                <w:sz w:val="1"/>
                <w:szCs w:val="1"/>
                <w:color w:val="auto"/>
              </w:rPr>
            </w:pPr>
          </w:p>
        </w:tc>
      </w:tr>
      <w:tr>
        <w:trPr>
          <w:trHeight w:val="133"/>
        </w:trPr>
        <w:tc>
          <w:tcPr>
            <w:tcW w:w="5220" w:type="dxa"/>
            <w:vAlign w:val="bottom"/>
          </w:tcPr>
          <w:p>
            <w:pPr>
              <w:ind w:left="220"/>
              <w:spacing w:after="0" w:line="133"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 including restricted</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w:t>
            </w:r>
          </w:p>
        </w:tc>
        <w:tc>
          <w:tcPr>
            <w:tcW w:w="2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2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Change in cash and cash equivalents, including restricted cash</w:t>
            </w:r>
          </w:p>
        </w:tc>
        <w:tc>
          <w:tcPr>
            <w:tcW w:w="220" w:type="dxa"/>
            <w:vAlign w:val="bottom"/>
            <w:tcBorders>
              <w:bottom w:val="single" w:sz="8" w:color="DDDDDD"/>
            </w:tcBorders>
            <w:shd w:val="clear" w:color="auto" w:fill="DDDDDD"/>
          </w:tcPr>
          <w:p>
            <w:pPr>
              <w:spacing w:after="0"/>
              <w:rPr>
                <w:sz w:val="17"/>
                <w:szCs w:val="17"/>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including restricted cash</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22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10,585</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10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DDDDDD"/>
            </w:tcBorders>
            <w:shd w:val="clear" w:color="auto" w:fill="DDDDDD"/>
          </w:tcPr>
          <w:p>
            <w:pPr>
              <w:spacing w:after="0"/>
              <w:rPr>
                <w:sz w:val="18"/>
                <w:szCs w:val="18"/>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0" w:type="dxa"/>
            <w:vAlign w:val="bottom"/>
          </w:tcPr>
          <w:p>
            <w:pPr>
              <w:spacing w:after="0"/>
              <w:rPr>
                <w:sz w:val="1"/>
                <w:szCs w:val="1"/>
                <w:color w:val="auto"/>
              </w:rPr>
            </w:pPr>
          </w:p>
        </w:tc>
      </w:tr>
      <w:tr>
        <w:trPr>
          <w:trHeight w:val="18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3,665</w:t>
            </w:r>
          </w:p>
        </w:tc>
        <w:tc>
          <w:tcPr>
            <w:tcW w:w="0" w:type="dxa"/>
            <w:vAlign w:val="bottom"/>
          </w:tcPr>
          <w:p>
            <w:pPr>
              <w:spacing w:after="0"/>
              <w:rPr>
                <w:sz w:val="1"/>
                <w:szCs w:val="1"/>
                <w:color w:val="auto"/>
              </w:rPr>
            </w:pPr>
          </w:p>
        </w:tc>
      </w:tr>
      <w:tr>
        <w:trPr>
          <w:trHeight w:val="30"/>
        </w:trPr>
        <w:tc>
          <w:tcPr>
            <w:tcW w:w="5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-5991225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-6137275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177165</wp:posOffset>
            </wp:positionV>
            <wp:extent cx="711517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33464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w:t>
            </w:r>
          </w:p>
        </w:tc>
        <w:tc>
          <w:tcPr>
            <w:tcW w:w="1180" w:type="dxa"/>
            <w:vAlign w:val="bottom"/>
            <w:vMerge w:val="restart"/>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Common Stock</w:t>
            </w:r>
          </w:p>
        </w:tc>
        <w:tc>
          <w:tcPr>
            <w:tcW w:w="120" w:type="dxa"/>
            <w:vAlign w:val="bottom"/>
          </w:tcPr>
          <w:p>
            <w:pPr>
              <w:spacing w:after="0"/>
              <w:rPr>
                <w:sz w:val="14"/>
                <w:szCs w:val="14"/>
                <w:color w:val="auto"/>
              </w:rPr>
            </w:pPr>
          </w:p>
        </w:tc>
        <w:tc>
          <w:tcPr>
            <w:tcW w:w="1160" w:type="dxa"/>
            <w:vAlign w:val="bottom"/>
            <w:vMerge w:val="restart"/>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Treasury Stock</w:t>
            </w:r>
          </w:p>
        </w:tc>
        <w:tc>
          <w:tcPr>
            <w:tcW w:w="120" w:type="dxa"/>
            <w:vAlign w:val="bottom"/>
          </w:tcPr>
          <w:p>
            <w:pPr>
              <w:spacing w:after="0"/>
              <w:rPr>
                <w:sz w:val="14"/>
                <w:szCs w:val="14"/>
                <w:color w:val="auto"/>
              </w:rPr>
            </w:pPr>
          </w:p>
        </w:tc>
        <w:tc>
          <w:tcPr>
            <w:tcW w:w="1160" w:type="dxa"/>
            <w:vAlign w:val="bottom"/>
            <w:gridSpan w:val="2"/>
            <w:vMerge w:val="restart"/>
            <w:shd w:val="clear" w:color="auto" w:fill="E20074"/>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Treasury Shares</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060" w:type="dxa"/>
            <w:vAlign w:val="bottom"/>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w w:val="99"/>
              </w:rPr>
              <w:t>Par Value and</w:t>
            </w:r>
          </w:p>
        </w:tc>
        <w:tc>
          <w:tcPr>
            <w:tcW w:w="100" w:type="dxa"/>
            <w:vAlign w:val="bottom"/>
          </w:tcPr>
          <w:p>
            <w:pPr>
              <w:spacing w:after="0"/>
              <w:rPr>
                <w:sz w:val="14"/>
                <w:szCs w:val="14"/>
                <w:color w:val="auto"/>
              </w:rPr>
            </w:pPr>
          </w:p>
        </w:tc>
        <w:tc>
          <w:tcPr>
            <w:tcW w:w="1280" w:type="dxa"/>
            <w:vAlign w:val="bottom"/>
            <w:gridSpan w:val="2"/>
            <w:shd w:val="clear" w:color="auto" w:fill="E20074"/>
          </w:tcPr>
          <w:p>
            <w:pPr>
              <w:ind w:left="40"/>
              <w:spacing w:after="0"/>
              <w:rPr>
                <w:sz w:val="20"/>
                <w:szCs w:val="20"/>
                <w:color w:val="auto"/>
              </w:rPr>
            </w:pPr>
            <w:r>
              <w:rPr>
                <w:rFonts w:ascii="Times New Roman" w:cs="Times New Roman" w:eastAsia="Times New Roman" w:hAnsi="Times New Roman"/>
                <w:sz w:val="14"/>
                <w:szCs w:val="14"/>
                <w:b w:val="1"/>
                <w:bCs w:val="1"/>
                <w:color w:val="FFFFFF"/>
              </w:rPr>
              <w:t>Accumulated Other</w:t>
            </w:r>
          </w:p>
        </w:tc>
        <w:tc>
          <w:tcPr>
            <w:tcW w:w="12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980" w:type="dxa"/>
            <w:vAlign w:val="bottom"/>
            <w:vMerge w:val="restart"/>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Retained</w:t>
            </w:r>
          </w:p>
        </w:tc>
        <w:tc>
          <w:tcPr>
            <w:tcW w:w="100" w:type="dxa"/>
            <w:vAlign w:val="bottom"/>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1040" w:type="dxa"/>
            <w:vAlign w:val="bottom"/>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46"/>
        </w:trPr>
        <w:tc>
          <w:tcPr>
            <w:tcW w:w="2220" w:type="dxa"/>
            <w:vAlign w:val="bottom"/>
            <w:vMerge w:val="continue"/>
          </w:tcPr>
          <w:p>
            <w:pPr>
              <w:spacing w:after="0"/>
              <w:rPr>
                <w:sz w:val="12"/>
                <w:szCs w:val="12"/>
                <w:color w:val="auto"/>
              </w:rPr>
            </w:pPr>
          </w:p>
        </w:tc>
        <w:tc>
          <w:tcPr>
            <w:tcW w:w="1180" w:type="dxa"/>
            <w:vAlign w:val="bottom"/>
            <w:vMerge w:val="continue"/>
            <w:shd w:val="clear" w:color="auto" w:fill="E20074"/>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shd w:val="clear" w:color="auto" w:fill="E20074"/>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shd w:val="clear" w:color="auto" w:fill="E20074"/>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shd w:val="clear" w:color="auto" w:fill="E2007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Additional Paid-</w:t>
            </w:r>
          </w:p>
        </w:tc>
        <w:tc>
          <w:tcPr>
            <w:tcW w:w="100" w:type="dxa"/>
            <w:vAlign w:val="bottom"/>
          </w:tcPr>
          <w:p>
            <w:pPr>
              <w:spacing w:after="0"/>
              <w:rPr>
                <w:sz w:val="12"/>
                <w:szCs w:val="12"/>
                <w:color w:val="auto"/>
              </w:rPr>
            </w:pPr>
          </w:p>
        </w:tc>
        <w:tc>
          <w:tcPr>
            <w:tcW w:w="140" w:type="dxa"/>
            <w:vAlign w:val="bottom"/>
            <w:shd w:val="clear" w:color="auto" w:fill="E20074"/>
          </w:tcPr>
          <w:p>
            <w:pPr>
              <w:spacing w:after="0"/>
              <w:rPr>
                <w:sz w:val="12"/>
                <w:szCs w:val="12"/>
                <w:color w:val="auto"/>
              </w:rPr>
            </w:pPr>
          </w:p>
        </w:tc>
        <w:tc>
          <w:tcPr>
            <w:tcW w:w="1140" w:type="dxa"/>
            <w:vAlign w:val="bottom"/>
            <w:shd w:val="clear" w:color="auto" w:fill="E20074"/>
          </w:tcPr>
          <w:p>
            <w:pPr>
              <w:jc w:val="right"/>
              <w:ind w:right="88"/>
              <w:spacing w:after="0" w:line="146" w:lineRule="exact"/>
              <w:rPr>
                <w:sz w:val="20"/>
                <w:szCs w:val="20"/>
                <w:color w:val="auto"/>
              </w:rPr>
            </w:pPr>
            <w:r>
              <w:rPr>
                <w:rFonts w:ascii="Times New Roman" w:cs="Times New Roman" w:eastAsia="Times New Roman" w:hAnsi="Times New Roman"/>
                <w:sz w:val="14"/>
                <w:szCs w:val="14"/>
                <w:b w:val="1"/>
                <w:bCs w:val="1"/>
                <w:color w:val="FFFFFF"/>
              </w:rPr>
              <w:t>Comprehensive</w:t>
            </w:r>
          </w:p>
        </w:tc>
        <w:tc>
          <w:tcPr>
            <w:tcW w:w="120" w:type="dxa"/>
            <w:vAlign w:val="bottom"/>
          </w:tcPr>
          <w:p>
            <w:pPr>
              <w:spacing w:after="0"/>
              <w:rPr>
                <w:sz w:val="12"/>
                <w:szCs w:val="12"/>
                <w:color w:val="auto"/>
              </w:rPr>
            </w:pPr>
          </w:p>
        </w:tc>
        <w:tc>
          <w:tcPr>
            <w:tcW w:w="200" w:type="dxa"/>
            <w:vAlign w:val="bottom"/>
            <w:shd w:val="clear" w:color="auto" w:fill="E20074"/>
          </w:tcPr>
          <w:p>
            <w:pPr>
              <w:spacing w:after="0"/>
              <w:rPr>
                <w:sz w:val="12"/>
                <w:szCs w:val="12"/>
                <w:color w:val="auto"/>
              </w:rPr>
            </w:pPr>
          </w:p>
        </w:tc>
        <w:tc>
          <w:tcPr>
            <w:tcW w:w="980" w:type="dxa"/>
            <w:vAlign w:val="bottom"/>
            <w:vMerge w:val="continue"/>
            <w:shd w:val="clear" w:color="auto" w:fill="E20074"/>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shd w:val="clear" w:color="auto" w:fill="E20074"/>
          </w:tcPr>
          <w:p>
            <w:pPr>
              <w:spacing w:after="0"/>
              <w:rPr>
                <w:sz w:val="12"/>
                <w:szCs w:val="12"/>
                <w:color w:val="auto"/>
              </w:rPr>
            </w:pPr>
          </w:p>
        </w:tc>
        <w:tc>
          <w:tcPr>
            <w:tcW w:w="1040" w:type="dxa"/>
            <w:vAlign w:val="bottom"/>
            <w:shd w:val="clear" w:color="auto" w:fill="E20074"/>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FFFFFF"/>
              </w:rPr>
              <w:t>Stockholders'</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1180" w:type="dxa"/>
            <w:vAlign w:val="bottom"/>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Outstanding</w:t>
            </w:r>
          </w:p>
        </w:tc>
        <w:tc>
          <w:tcPr>
            <w:tcW w:w="120" w:type="dxa"/>
            <w:vAlign w:val="bottom"/>
          </w:tcPr>
          <w:p>
            <w:pPr>
              <w:spacing w:after="0"/>
              <w:rPr>
                <w:sz w:val="17"/>
                <w:szCs w:val="17"/>
                <w:color w:val="auto"/>
              </w:rPr>
            </w:pPr>
          </w:p>
        </w:tc>
        <w:tc>
          <w:tcPr>
            <w:tcW w:w="1160" w:type="dxa"/>
            <w:vAlign w:val="bottom"/>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Outstanding</w:t>
            </w:r>
          </w:p>
        </w:tc>
        <w:tc>
          <w:tcPr>
            <w:tcW w:w="12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940" w:type="dxa"/>
            <w:vAlign w:val="bottom"/>
            <w:shd w:val="clear" w:color="auto" w:fill="E20074"/>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at Cost</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60" w:type="dxa"/>
            <w:vAlign w:val="bottom"/>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rPr>
              <w:t>in Capital</w:t>
            </w:r>
          </w:p>
        </w:tc>
        <w:tc>
          <w:tcPr>
            <w:tcW w:w="100" w:type="dxa"/>
            <w:vAlign w:val="bottom"/>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1140" w:type="dxa"/>
            <w:vAlign w:val="bottom"/>
            <w:shd w:val="clear" w:color="auto" w:fill="E20074"/>
          </w:tcPr>
          <w:p>
            <w:pPr>
              <w:jc w:val="right"/>
              <w:ind w:right="428"/>
              <w:spacing w:after="0"/>
              <w:rPr>
                <w:sz w:val="20"/>
                <w:szCs w:val="20"/>
                <w:color w:val="auto"/>
              </w:rPr>
            </w:pPr>
            <w:r>
              <w:rPr>
                <w:rFonts w:ascii="Times New Roman" w:cs="Times New Roman" w:eastAsia="Times New Roman" w:hAnsi="Times New Roman"/>
                <w:sz w:val="14"/>
                <w:szCs w:val="14"/>
                <w:b w:val="1"/>
                <w:bCs w:val="1"/>
                <w:color w:val="FFFFFF"/>
              </w:rPr>
              <w:t>Loss</w:t>
            </w:r>
          </w:p>
        </w:tc>
        <w:tc>
          <w:tcPr>
            <w:tcW w:w="12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98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Earnings</w:t>
            </w:r>
          </w:p>
        </w:tc>
        <w:tc>
          <w:tcPr>
            <w:tcW w:w="100" w:type="dxa"/>
            <w:vAlign w:val="bottom"/>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1040" w:type="dxa"/>
            <w:vAlign w:val="bottom"/>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rPr>
              <w:t>Equity</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1,074,817,571</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203,587,868</w:t>
            </w:r>
          </w:p>
        </w:tc>
        <w:tc>
          <w:tcPr>
            <w:tcW w:w="34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(37,667)</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69,879</w:t>
            </w:r>
          </w:p>
        </w:tc>
        <w:tc>
          <w:tcPr>
            <w:tcW w:w="2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320" w:type="dxa"/>
            <w:vAlign w:val="bottom"/>
            <w:tcBorders>
              <w:bottom w:val="single" w:sz="8" w:color="DDDDDD"/>
            </w:tcBorders>
            <w:gridSpan w:val="2"/>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24,688</w:t>
            </w:r>
          </w:p>
        </w:tc>
        <w:tc>
          <w:tcPr>
            <w:tcW w:w="24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56,265</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Dividends declared ($1.17 per share)</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 issued for employee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567,538</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DDDDDD"/>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vested restricted stock</w:t>
            </w: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1,554,628</w:t>
            </w:r>
          </w:p>
        </w:tc>
        <w:tc>
          <w:tcPr>
            <w:tcW w:w="120" w:type="dxa"/>
            <w:vAlign w:val="bottom"/>
            <w:shd w:val="clear" w:color="auto" w:fill="DDDDDD"/>
          </w:tcPr>
          <w:p>
            <w:pPr>
              <w:spacing w:after="0"/>
              <w:rPr>
                <w:sz w:val="13"/>
                <w:szCs w:val="13"/>
                <w:color w:val="auto"/>
              </w:rPr>
            </w:pPr>
          </w:p>
        </w:tc>
        <w:tc>
          <w:tcPr>
            <w:tcW w:w="1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9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9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18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16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settlement of stock awards and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(478,388)</w:t>
            </w:r>
          </w:p>
        </w:tc>
        <w:tc>
          <w:tcPr>
            <w:tcW w:w="1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(13,621,695)</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13,621,695</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220" w:type="dxa"/>
            <w:vAlign w:val="bottom"/>
            <w:tcBorders>
              <w:bottom w:val="single" w:sz="8" w:color="DDDDDD"/>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1,062,845,266</w:t>
            </w:r>
          </w:p>
        </w:tc>
        <w:tc>
          <w:tcPr>
            <w:tcW w:w="12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217,211,616</w:t>
            </w:r>
          </w:p>
        </w:tc>
        <w:tc>
          <w:tcPr>
            <w:tcW w:w="340" w:type="dxa"/>
            <w:vAlign w:val="bottom"/>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(40,102)</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70,089</w:t>
            </w:r>
          </w:p>
        </w:tc>
        <w:tc>
          <w:tcPr>
            <w:tcW w:w="2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320" w:type="dxa"/>
            <w:vAlign w:val="bottom"/>
            <w:gridSpan w:val="2"/>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26,915</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56,307</w:t>
            </w:r>
          </w:p>
        </w:tc>
        <w:tc>
          <w:tcPr>
            <w:tcW w:w="0" w:type="dxa"/>
            <w:vAlign w:val="bottom"/>
          </w:tcPr>
          <w:p>
            <w:pPr>
              <w:spacing w:after="0"/>
              <w:rPr>
                <w:sz w:val="1"/>
                <w:szCs w:val="1"/>
                <w:color w:val="auto"/>
              </w:rPr>
            </w:pPr>
          </w:p>
        </w:tc>
      </w:tr>
      <w:tr>
        <w:trPr>
          <w:trHeight w:val="203"/>
        </w:trPr>
        <w:tc>
          <w:tcPr>
            <w:tcW w:w="2220" w:type="dxa"/>
            <w:vAlign w:val="bottom"/>
            <w:tcBorders>
              <w:top w:val="single" w:sz="8" w:color="DDDDDD"/>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DDDDDD"/>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DDDDDD"/>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DDDDDD"/>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1,106,930,661</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168,843,574</w:t>
            </w:r>
          </w:p>
        </w:tc>
        <w:tc>
          <w:tcPr>
            <w:tcW w:w="34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(30,545)</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69,460</w:t>
            </w:r>
          </w:p>
        </w:tc>
        <w:tc>
          <w:tcPr>
            <w:tcW w:w="2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320" w:type="dxa"/>
            <w:vAlign w:val="bottom"/>
            <w:tcBorders>
              <w:bottom w:val="single" w:sz="8" w:color="DDDDDD"/>
            </w:tcBorders>
            <w:gridSpan w:val="2"/>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21,136</w:t>
            </w:r>
          </w:p>
        </w:tc>
        <w:tc>
          <w:tcPr>
            <w:tcW w:w="24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59,203</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Dividends declared ($3.21 per share)</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 issued for employee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1,322,243</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DDDDDD"/>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vested restricted stock</w:t>
            </w: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4,254,520</w:t>
            </w:r>
          </w:p>
        </w:tc>
        <w:tc>
          <w:tcPr>
            <w:tcW w:w="120" w:type="dxa"/>
            <w:vAlign w:val="bottom"/>
            <w:shd w:val="clear" w:color="auto" w:fill="DDDDDD"/>
          </w:tcPr>
          <w:p>
            <w:pPr>
              <w:spacing w:after="0"/>
              <w:rPr>
                <w:sz w:val="13"/>
                <w:szCs w:val="13"/>
                <w:color w:val="auto"/>
              </w:rPr>
            </w:pPr>
          </w:p>
        </w:tc>
        <w:tc>
          <w:tcPr>
            <w:tcW w:w="1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9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9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18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16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settlement of stock awards and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(1,340,592)</w:t>
            </w:r>
          </w:p>
        </w:tc>
        <w:tc>
          <w:tcPr>
            <w:tcW w:w="1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(48,372,465)</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48,372,465</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(9,555)</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(9,555)</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50,899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2220" w:type="dxa"/>
            <w:vAlign w:val="bottom"/>
            <w:tcBorders>
              <w:bottom w:val="single" w:sz="8" w:color="DDDDDD"/>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1,062,845,266</w:t>
            </w:r>
          </w:p>
        </w:tc>
        <w:tc>
          <w:tcPr>
            <w:tcW w:w="120" w:type="dxa"/>
            <w:vAlign w:val="bottom"/>
            <w:tcBorders>
              <w:bottom w:val="single" w:sz="8" w:color="DDDDDD"/>
            </w:tcBorders>
            <w:shd w:val="clear" w:color="auto" w:fill="DDDDDD"/>
          </w:tcPr>
          <w:p>
            <w:pPr>
              <w:spacing w:after="0"/>
              <w:rPr>
                <w:sz w:val="18"/>
                <w:szCs w:val="18"/>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217,211,616</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(40,102)</w:t>
            </w: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70,089</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26,915</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56,307</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177165</wp:posOffset>
            </wp:positionV>
            <wp:extent cx="57092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w:t>
            </w:r>
          </w:p>
        </w:tc>
        <w:tc>
          <w:tcPr>
            <w:tcW w:w="1180" w:type="dxa"/>
            <w:vAlign w:val="bottom"/>
            <w:vMerge w:val="restart"/>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Common Stock</w:t>
            </w:r>
          </w:p>
        </w:tc>
        <w:tc>
          <w:tcPr>
            <w:tcW w:w="120" w:type="dxa"/>
            <w:vAlign w:val="bottom"/>
          </w:tcPr>
          <w:p>
            <w:pPr>
              <w:spacing w:after="0"/>
              <w:rPr>
                <w:sz w:val="14"/>
                <w:szCs w:val="14"/>
                <w:color w:val="auto"/>
              </w:rPr>
            </w:pPr>
          </w:p>
        </w:tc>
        <w:tc>
          <w:tcPr>
            <w:tcW w:w="1160" w:type="dxa"/>
            <w:vAlign w:val="bottom"/>
            <w:vMerge w:val="restart"/>
            <w:shd w:val="clear" w:color="auto" w:fill="E20074"/>
          </w:tcPr>
          <w:p>
            <w:pPr>
              <w:jc w:val="right"/>
              <w:ind w:right="47"/>
              <w:spacing w:after="0"/>
              <w:rPr>
                <w:sz w:val="20"/>
                <w:szCs w:val="20"/>
                <w:color w:val="auto"/>
              </w:rPr>
            </w:pPr>
            <w:r>
              <w:rPr>
                <w:rFonts w:ascii="Times New Roman" w:cs="Times New Roman" w:eastAsia="Times New Roman" w:hAnsi="Times New Roman"/>
                <w:sz w:val="14"/>
                <w:szCs w:val="14"/>
                <w:b w:val="1"/>
                <w:bCs w:val="1"/>
                <w:color w:val="FFFFFF"/>
              </w:rPr>
              <w:t>Treasury Stock</w:t>
            </w:r>
          </w:p>
        </w:tc>
        <w:tc>
          <w:tcPr>
            <w:tcW w:w="120" w:type="dxa"/>
            <w:vAlign w:val="bottom"/>
          </w:tcPr>
          <w:p>
            <w:pPr>
              <w:spacing w:after="0"/>
              <w:rPr>
                <w:sz w:val="14"/>
                <w:szCs w:val="14"/>
                <w:color w:val="auto"/>
              </w:rPr>
            </w:pPr>
          </w:p>
        </w:tc>
        <w:tc>
          <w:tcPr>
            <w:tcW w:w="1160" w:type="dxa"/>
            <w:vAlign w:val="bottom"/>
            <w:gridSpan w:val="2"/>
            <w:vMerge w:val="restart"/>
            <w:shd w:val="clear" w:color="auto" w:fill="E20074"/>
          </w:tcPr>
          <w:p>
            <w:pPr>
              <w:jc w:val="right"/>
              <w:ind w:right="7"/>
              <w:spacing w:after="0"/>
              <w:rPr>
                <w:sz w:val="20"/>
                <w:szCs w:val="20"/>
                <w:color w:val="auto"/>
              </w:rPr>
            </w:pPr>
            <w:r>
              <w:rPr>
                <w:rFonts w:ascii="Times New Roman" w:cs="Times New Roman" w:eastAsia="Times New Roman" w:hAnsi="Times New Roman"/>
                <w:sz w:val="14"/>
                <w:szCs w:val="14"/>
                <w:b w:val="1"/>
                <w:bCs w:val="1"/>
                <w:color w:val="FFFFFF"/>
              </w:rPr>
              <w:t>Treasury Shares</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060" w:type="dxa"/>
            <w:vAlign w:val="bottom"/>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w w:val="99"/>
              </w:rPr>
              <w:t>Par Value and</w:t>
            </w:r>
          </w:p>
        </w:tc>
        <w:tc>
          <w:tcPr>
            <w:tcW w:w="100" w:type="dxa"/>
            <w:vAlign w:val="bottom"/>
          </w:tcPr>
          <w:p>
            <w:pPr>
              <w:spacing w:after="0"/>
              <w:rPr>
                <w:sz w:val="14"/>
                <w:szCs w:val="14"/>
                <w:color w:val="auto"/>
              </w:rPr>
            </w:pPr>
          </w:p>
        </w:tc>
        <w:tc>
          <w:tcPr>
            <w:tcW w:w="1280" w:type="dxa"/>
            <w:vAlign w:val="bottom"/>
            <w:gridSpan w:val="2"/>
            <w:shd w:val="clear" w:color="auto" w:fill="E20074"/>
          </w:tcPr>
          <w:p>
            <w:pPr>
              <w:ind w:left="40"/>
              <w:spacing w:after="0"/>
              <w:rPr>
                <w:sz w:val="20"/>
                <w:szCs w:val="20"/>
                <w:color w:val="auto"/>
              </w:rPr>
            </w:pPr>
            <w:r>
              <w:rPr>
                <w:rFonts w:ascii="Times New Roman" w:cs="Times New Roman" w:eastAsia="Times New Roman" w:hAnsi="Times New Roman"/>
                <w:sz w:val="14"/>
                <w:szCs w:val="14"/>
                <w:b w:val="1"/>
                <w:bCs w:val="1"/>
                <w:color w:val="FFFFFF"/>
              </w:rPr>
              <w:t>Accumulated Other</w:t>
            </w:r>
          </w:p>
        </w:tc>
        <w:tc>
          <w:tcPr>
            <w:tcW w:w="12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980" w:type="dxa"/>
            <w:vAlign w:val="bottom"/>
            <w:vMerge w:val="restart"/>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Retained</w:t>
            </w:r>
          </w:p>
        </w:tc>
        <w:tc>
          <w:tcPr>
            <w:tcW w:w="100" w:type="dxa"/>
            <w:vAlign w:val="bottom"/>
          </w:tcPr>
          <w:p>
            <w:pPr>
              <w:spacing w:after="0"/>
              <w:rPr>
                <w:sz w:val="14"/>
                <w:szCs w:val="14"/>
                <w:color w:val="auto"/>
              </w:rPr>
            </w:pPr>
          </w:p>
        </w:tc>
        <w:tc>
          <w:tcPr>
            <w:tcW w:w="140" w:type="dxa"/>
            <w:vAlign w:val="bottom"/>
            <w:shd w:val="clear" w:color="auto" w:fill="E20074"/>
          </w:tcPr>
          <w:p>
            <w:pPr>
              <w:spacing w:after="0"/>
              <w:rPr>
                <w:sz w:val="14"/>
                <w:szCs w:val="14"/>
                <w:color w:val="auto"/>
              </w:rPr>
            </w:pPr>
          </w:p>
        </w:tc>
        <w:tc>
          <w:tcPr>
            <w:tcW w:w="1040" w:type="dxa"/>
            <w:vAlign w:val="bottom"/>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46"/>
        </w:trPr>
        <w:tc>
          <w:tcPr>
            <w:tcW w:w="2220" w:type="dxa"/>
            <w:vAlign w:val="bottom"/>
            <w:vMerge w:val="continue"/>
          </w:tcPr>
          <w:p>
            <w:pPr>
              <w:spacing w:after="0"/>
              <w:rPr>
                <w:sz w:val="12"/>
                <w:szCs w:val="12"/>
                <w:color w:val="auto"/>
              </w:rPr>
            </w:pPr>
          </w:p>
        </w:tc>
        <w:tc>
          <w:tcPr>
            <w:tcW w:w="1180" w:type="dxa"/>
            <w:vAlign w:val="bottom"/>
            <w:vMerge w:val="continue"/>
            <w:shd w:val="clear" w:color="auto" w:fill="E20074"/>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shd w:val="clear" w:color="auto" w:fill="E20074"/>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shd w:val="clear" w:color="auto" w:fill="E20074"/>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shd w:val="clear" w:color="auto" w:fill="E2007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Additional Paid-</w:t>
            </w:r>
          </w:p>
        </w:tc>
        <w:tc>
          <w:tcPr>
            <w:tcW w:w="100" w:type="dxa"/>
            <w:vAlign w:val="bottom"/>
          </w:tcPr>
          <w:p>
            <w:pPr>
              <w:spacing w:after="0"/>
              <w:rPr>
                <w:sz w:val="12"/>
                <w:szCs w:val="12"/>
                <w:color w:val="auto"/>
              </w:rPr>
            </w:pPr>
          </w:p>
        </w:tc>
        <w:tc>
          <w:tcPr>
            <w:tcW w:w="140" w:type="dxa"/>
            <w:vAlign w:val="bottom"/>
            <w:shd w:val="clear" w:color="auto" w:fill="E20074"/>
          </w:tcPr>
          <w:p>
            <w:pPr>
              <w:spacing w:after="0"/>
              <w:rPr>
                <w:sz w:val="12"/>
                <w:szCs w:val="12"/>
                <w:color w:val="auto"/>
              </w:rPr>
            </w:pPr>
          </w:p>
        </w:tc>
        <w:tc>
          <w:tcPr>
            <w:tcW w:w="1140" w:type="dxa"/>
            <w:vAlign w:val="bottom"/>
            <w:shd w:val="clear" w:color="auto" w:fill="E20074"/>
          </w:tcPr>
          <w:p>
            <w:pPr>
              <w:jc w:val="right"/>
              <w:ind w:right="88"/>
              <w:spacing w:after="0" w:line="146" w:lineRule="exact"/>
              <w:rPr>
                <w:sz w:val="20"/>
                <w:szCs w:val="20"/>
                <w:color w:val="auto"/>
              </w:rPr>
            </w:pPr>
            <w:r>
              <w:rPr>
                <w:rFonts w:ascii="Times New Roman" w:cs="Times New Roman" w:eastAsia="Times New Roman" w:hAnsi="Times New Roman"/>
                <w:sz w:val="14"/>
                <w:szCs w:val="14"/>
                <w:b w:val="1"/>
                <w:bCs w:val="1"/>
                <w:color w:val="FFFFFF"/>
              </w:rPr>
              <w:t>Comprehensive</w:t>
            </w:r>
          </w:p>
        </w:tc>
        <w:tc>
          <w:tcPr>
            <w:tcW w:w="120" w:type="dxa"/>
            <w:vAlign w:val="bottom"/>
          </w:tcPr>
          <w:p>
            <w:pPr>
              <w:spacing w:after="0"/>
              <w:rPr>
                <w:sz w:val="12"/>
                <w:szCs w:val="12"/>
                <w:color w:val="auto"/>
              </w:rPr>
            </w:pPr>
          </w:p>
        </w:tc>
        <w:tc>
          <w:tcPr>
            <w:tcW w:w="200" w:type="dxa"/>
            <w:vAlign w:val="bottom"/>
            <w:shd w:val="clear" w:color="auto" w:fill="E20074"/>
          </w:tcPr>
          <w:p>
            <w:pPr>
              <w:spacing w:after="0"/>
              <w:rPr>
                <w:sz w:val="12"/>
                <w:szCs w:val="12"/>
                <w:color w:val="auto"/>
              </w:rPr>
            </w:pPr>
          </w:p>
        </w:tc>
        <w:tc>
          <w:tcPr>
            <w:tcW w:w="980" w:type="dxa"/>
            <w:vAlign w:val="bottom"/>
            <w:vMerge w:val="continue"/>
            <w:shd w:val="clear" w:color="auto" w:fill="E20074"/>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shd w:val="clear" w:color="auto" w:fill="E20074"/>
          </w:tcPr>
          <w:p>
            <w:pPr>
              <w:spacing w:after="0"/>
              <w:rPr>
                <w:sz w:val="12"/>
                <w:szCs w:val="12"/>
                <w:color w:val="auto"/>
              </w:rPr>
            </w:pPr>
          </w:p>
        </w:tc>
        <w:tc>
          <w:tcPr>
            <w:tcW w:w="1040" w:type="dxa"/>
            <w:vAlign w:val="bottom"/>
            <w:shd w:val="clear" w:color="auto" w:fill="E20074"/>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FFFFFF"/>
              </w:rPr>
              <w:t>Stockholders'</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1180" w:type="dxa"/>
            <w:vAlign w:val="bottom"/>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Outstanding</w:t>
            </w:r>
          </w:p>
        </w:tc>
        <w:tc>
          <w:tcPr>
            <w:tcW w:w="120" w:type="dxa"/>
            <w:vAlign w:val="bottom"/>
          </w:tcPr>
          <w:p>
            <w:pPr>
              <w:spacing w:after="0"/>
              <w:rPr>
                <w:sz w:val="17"/>
                <w:szCs w:val="17"/>
                <w:color w:val="auto"/>
              </w:rPr>
            </w:pPr>
          </w:p>
        </w:tc>
        <w:tc>
          <w:tcPr>
            <w:tcW w:w="1160" w:type="dxa"/>
            <w:vAlign w:val="bottom"/>
            <w:shd w:val="clear" w:color="auto" w:fill="E20074"/>
          </w:tcPr>
          <w:p>
            <w:pPr>
              <w:jc w:val="right"/>
              <w:ind w:right="127"/>
              <w:spacing w:after="0"/>
              <w:rPr>
                <w:sz w:val="20"/>
                <w:szCs w:val="20"/>
                <w:color w:val="auto"/>
              </w:rPr>
            </w:pPr>
            <w:r>
              <w:rPr>
                <w:rFonts w:ascii="Times New Roman" w:cs="Times New Roman" w:eastAsia="Times New Roman" w:hAnsi="Times New Roman"/>
                <w:sz w:val="14"/>
                <w:szCs w:val="14"/>
                <w:b w:val="1"/>
                <w:bCs w:val="1"/>
                <w:color w:val="FFFFFF"/>
              </w:rPr>
              <w:t>Outstanding</w:t>
            </w:r>
          </w:p>
        </w:tc>
        <w:tc>
          <w:tcPr>
            <w:tcW w:w="12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940" w:type="dxa"/>
            <w:vAlign w:val="bottom"/>
            <w:shd w:val="clear" w:color="auto" w:fill="E20074"/>
          </w:tcPr>
          <w:p>
            <w:pPr>
              <w:jc w:val="right"/>
              <w:ind w:right="287"/>
              <w:spacing w:after="0"/>
              <w:rPr>
                <w:sz w:val="20"/>
                <w:szCs w:val="20"/>
                <w:color w:val="auto"/>
              </w:rPr>
            </w:pPr>
            <w:r>
              <w:rPr>
                <w:rFonts w:ascii="Times New Roman" w:cs="Times New Roman" w:eastAsia="Times New Roman" w:hAnsi="Times New Roman"/>
                <w:sz w:val="14"/>
                <w:szCs w:val="14"/>
                <w:b w:val="1"/>
                <w:bCs w:val="1"/>
                <w:color w:val="FFFFFF"/>
              </w:rPr>
              <w:t>at Cost</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060" w:type="dxa"/>
            <w:vAlign w:val="bottom"/>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rPr>
              <w:t>in Capital</w:t>
            </w:r>
          </w:p>
        </w:tc>
        <w:tc>
          <w:tcPr>
            <w:tcW w:w="100" w:type="dxa"/>
            <w:vAlign w:val="bottom"/>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1140" w:type="dxa"/>
            <w:vAlign w:val="bottom"/>
            <w:shd w:val="clear" w:color="auto" w:fill="E20074"/>
          </w:tcPr>
          <w:p>
            <w:pPr>
              <w:jc w:val="right"/>
              <w:ind w:right="428"/>
              <w:spacing w:after="0"/>
              <w:rPr>
                <w:sz w:val="20"/>
                <w:szCs w:val="20"/>
                <w:color w:val="auto"/>
              </w:rPr>
            </w:pPr>
            <w:r>
              <w:rPr>
                <w:rFonts w:ascii="Times New Roman" w:cs="Times New Roman" w:eastAsia="Times New Roman" w:hAnsi="Times New Roman"/>
                <w:sz w:val="14"/>
                <w:szCs w:val="14"/>
                <w:b w:val="1"/>
                <w:bCs w:val="1"/>
                <w:color w:val="FFFFFF"/>
              </w:rPr>
              <w:t>Loss</w:t>
            </w:r>
          </w:p>
        </w:tc>
        <w:tc>
          <w:tcPr>
            <w:tcW w:w="12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98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Earnings</w:t>
            </w:r>
          </w:p>
        </w:tc>
        <w:tc>
          <w:tcPr>
            <w:tcW w:w="100" w:type="dxa"/>
            <w:vAlign w:val="bottom"/>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1040" w:type="dxa"/>
            <w:vAlign w:val="bottom"/>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rPr>
              <w:t>Equity</w:t>
            </w:r>
          </w:p>
        </w:tc>
        <w:tc>
          <w:tcPr>
            <w:tcW w:w="0" w:type="dxa"/>
            <w:vAlign w:val="bottom"/>
          </w:tcPr>
          <w:p>
            <w:pPr>
              <w:spacing w:after="0"/>
              <w:rPr>
                <w:sz w:val="1"/>
                <w:szCs w:val="1"/>
                <w:color w:val="auto"/>
              </w:rPr>
            </w:pPr>
          </w:p>
        </w:tc>
      </w:tr>
      <w:tr>
        <w:trPr>
          <w:trHeight w:val="209"/>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1,127,450,618</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146,725,778</w:t>
            </w:r>
          </w:p>
        </w:tc>
        <w:tc>
          <w:tcPr>
            <w:tcW w:w="34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(25,569)</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69,008</w:t>
            </w:r>
          </w:p>
        </w:tc>
        <w:tc>
          <w:tcPr>
            <w:tcW w:w="2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320" w:type="dxa"/>
            <w:vAlign w:val="bottom"/>
            <w:tcBorders>
              <w:bottom w:val="single" w:sz="8" w:color="DDDDDD"/>
            </w:tcBorders>
            <w:gridSpan w:val="2"/>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18,576</w:t>
            </w:r>
          </w:p>
        </w:tc>
        <w:tc>
          <w:tcPr>
            <w:tcW w:w="24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61,107</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Dividends declared ($1.02 per share)</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 issued for employee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437,777</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DDDDDD"/>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vested restricted stock</w:t>
            </w: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1,175,288</w:t>
            </w:r>
          </w:p>
        </w:tc>
        <w:tc>
          <w:tcPr>
            <w:tcW w:w="120" w:type="dxa"/>
            <w:vAlign w:val="bottom"/>
            <w:shd w:val="clear" w:color="auto" w:fill="DDDDDD"/>
          </w:tcPr>
          <w:p>
            <w:pPr>
              <w:spacing w:after="0"/>
              <w:rPr>
                <w:sz w:val="13"/>
                <w:szCs w:val="13"/>
                <w:color w:val="auto"/>
              </w:rPr>
            </w:pPr>
          </w:p>
        </w:tc>
        <w:tc>
          <w:tcPr>
            <w:tcW w:w="1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9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9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18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16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settlement of stock awards and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(365,677)</w:t>
            </w:r>
          </w:p>
        </w:tc>
        <w:tc>
          <w:tcPr>
            <w:tcW w:w="1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(10,204,072)</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10,204,072</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3"/>
        </w:trPr>
        <w:tc>
          <w:tcPr>
            <w:tcW w:w="2220" w:type="dxa"/>
            <w:vAlign w:val="bottom"/>
            <w:tcBorders>
              <w:bottom w:val="single" w:sz="8" w:color="DDDDDD"/>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1,118,506,240</w:t>
            </w:r>
          </w:p>
        </w:tc>
        <w:tc>
          <w:tcPr>
            <w:tcW w:w="12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156,929,196</w:t>
            </w:r>
          </w:p>
        </w:tc>
        <w:tc>
          <w:tcPr>
            <w:tcW w:w="340" w:type="dxa"/>
            <w:vAlign w:val="bottom"/>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(28,064)</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69,267</w:t>
            </w:r>
          </w:p>
        </w:tc>
        <w:tc>
          <w:tcPr>
            <w:tcW w:w="2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320" w:type="dxa"/>
            <w:vAlign w:val="bottom"/>
            <w:gridSpan w:val="2"/>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20,155</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60,477</w:t>
            </w:r>
          </w:p>
        </w:tc>
        <w:tc>
          <w:tcPr>
            <w:tcW w:w="0" w:type="dxa"/>
            <w:vAlign w:val="bottom"/>
          </w:tcPr>
          <w:p>
            <w:pPr>
              <w:spacing w:after="0"/>
              <w:rPr>
                <w:sz w:val="1"/>
                <w:szCs w:val="1"/>
                <w:color w:val="auto"/>
              </w:rPr>
            </w:pPr>
          </w:p>
        </w:tc>
      </w:tr>
      <w:tr>
        <w:trPr>
          <w:trHeight w:val="256"/>
        </w:trPr>
        <w:tc>
          <w:tcPr>
            <w:tcW w:w="2220" w:type="dxa"/>
            <w:vAlign w:val="bottom"/>
            <w:tcBorders>
              <w:top w:val="single" w:sz="8" w:color="DDDDDD"/>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DDDDDD"/>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DDDDDD"/>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DDDDDD"/>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DDDDDD"/>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top w:val="single" w:sz="8" w:color="DDDDDD"/>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DDDDDD"/>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1,144,579,681</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126,494,683</w:t>
            </w:r>
          </w:p>
        </w:tc>
        <w:tc>
          <w:tcPr>
            <w:tcW w:w="34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(20,584)</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68,798</w:t>
            </w:r>
          </w:p>
        </w:tc>
        <w:tc>
          <w:tcPr>
            <w:tcW w:w="2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320" w:type="dxa"/>
            <w:vAlign w:val="bottom"/>
            <w:tcBorders>
              <w:bottom w:val="single" w:sz="8" w:color="DDDDDD"/>
            </w:tcBorders>
            <w:gridSpan w:val="2"/>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14,384</w:t>
            </w:r>
          </w:p>
        </w:tc>
        <w:tc>
          <w:tcPr>
            <w:tcW w:w="24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61,741</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Dividends declared ($2.78 per share)</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Stock issued for employee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1,150,449</w:t>
            </w: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DDDDDD"/>
          </w:tcPr>
          <w:p>
            <w:pPr>
              <w:ind w:left="20"/>
              <w:spacing w:after="0" w:line="158" w:lineRule="exact"/>
              <w:rPr>
                <w:sz w:val="20"/>
                <w:szCs w:val="20"/>
                <w:color w:val="auto"/>
              </w:rPr>
            </w:pPr>
            <w:r>
              <w:rPr>
                <w:rFonts w:ascii="Times New Roman" w:cs="Times New Roman" w:eastAsia="Times New Roman" w:hAnsi="Times New Roman"/>
                <w:sz w:val="14"/>
                <w:szCs w:val="14"/>
                <w:color w:val="auto"/>
              </w:rPr>
              <w:t>Issuance of vested restricted stock</w:t>
            </w: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4,627,936</w:t>
            </w:r>
          </w:p>
        </w:tc>
        <w:tc>
          <w:tcPr>
            <w:tcW w:w="120" w:type="dxa"/>
            <w:vAlign w:val="bottom"/>
            <w:shd w:val="clear" w:color="auto" w:fill="DDDDDD"/>
          </w:tcPr>
          <w:p>
            <w:pPr>
              <w:spacing w:after="0"/>
              <w:rPr>
                <w:sz w:val="13"/>
                <w:szCs w:val="13"/>
                <w:color w:val="auto"/>
              </w:rPr>
            </w:pPr>
          </w:p>
        </w:tc>
        <w:tc>
          <w:tcPr>
            <w:tcW w:w="1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9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DDDDD"/>
          </w:tcPr>
          <w:p>
            <w:pPr>
              <w:spacing w:after="0"/>
              <w:rPr>
                <w:sz w:val="13"/>
                <w:szCs w:val="13"/>
                <w:color w:val="auto"/>
              </w:rPr>
            </w:pPr>
          </w:p>
        </w:tc>
        <w:tc>
          <w:tcPr>
            <w:tcW w:w="200" w:type="dxa"/>
            <w:vAlign w:val="bottom"/>
            <w:shd w:val="clear" w:color="auto" w:fill="DDDDDD"/>
          </w:tcPr>
          <w:p>
            <w:pPr>
              <w:spacing w:after="0"/>
              <w:rPr>
                <w:sz w:val="13"/>
                <w:szCs w:val="13"/>
                <w:color w:val="auto"/>
              </w:rPr>
            </w:pPr>
          </w:p>
        </w:tc>
        <w:tc>
          <w:tcPr>
            <w:tcW w:w="9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DDDDD"/>
          </w:tcPr>
          <w:p>
            <w:pPr>
              <w:spacing w:after="0"/>
              <w:rPr>
                <w:sz w:val="13"/>
                <w:szCs w:val="13"/>
                <w:color w:val="auto"/>
              </w:rPr>
            </w:pPr>
          </w:p>
        </w:tc>
        <w:tc>
          <w:tcPr>
            <w:tcW w:w="140" w:type="dxa"/>
            <w:vAlign w:val="bottom"/>
            <w:shd w:val="clear" w:color="auto" w:fill="DDDDDD"/>
          </w:tcPr>
          <w:p>
            <w:pPr>
              <w:spacing w:after="0"/>
              <w:rPr>
                <w:sz w:val="13"/>
                <w:szCs w:val="13"/>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18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16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9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06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1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9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4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settlement of stock awards and stock</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(1,491,249)</w:t>
            </w:r>
          </w:p>
        </w:tc>
        <w:tc>
          <w:tcPr>
            <w:tcW w:w="1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(30,444,090)</w:t>
            </w:r>
          </w:p>
        </w:tc>
        <w:tc>
          <w:tcPr>
            <w:tcW w:w="128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30,444,090</w:t>
            </w:r>
          </w:p>
        </w:tc>
        <w:tc>
          <w:tcPr>
            <w:tcW w:w="12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9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(9,577)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3"/>
        </w:trPr>
        <w:tc>
          <w:tcPr>
            <w:tcW w:w="2220" w:type="dxa"/>
            <w:vAlign w:val="bottom"/>
            <w:tcBorders>
              <w:bottom w:val="single" w:sz="8" w:color="DDDDDD"/>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1,118,506,240</w:t>
            </w:r>
          </w:p>
        </w:tc>
        <w:tc>
          <w:tcPr>
            <w:tcW w:w="120" w:type="dxa"/>
            <w:vAlign w:val="bottom"/>
            <w:tcBorders>
              <w:bottom w:val="single" w:sz="8" w:color="DDDDDD"/>
            </w:tcBorders>
            <w:shd w:val="clear" w:color="auto" w:fill="DDDDDD"/>
          </w:tcPr>
          <w:p>
            <w:pPr>
              <w:spacing w:after="0"/>
              <w:rPr>
                <w:sz w:val="18"/>
                <w:szCs w:val="18"/>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156,929,196</w:t>
            </w:r>
          </w:p>
        </w:tc>
        <w:tc>
          <w:tcPr>
            <w:tcW w:w="12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(28,064)</w:t>
            </w: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69,267</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20,155</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60,477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-2065655</wp:posOffset>
            </wp:positionV>
            <wp:extent cx="71151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-3950970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9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Index for Notes to the Condensed Consolidated Financial Statements</w:t>
            </w:r>
          </w:p>
        </w:tc>
        <w:tc>
          <w:tcPr>
            <w:tcW w:w="60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76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gridSpan w:val="3"/>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8"/>
              </w:rPr>
              <w:t>T-Mobile US, Inc.</w:t>
            </w:r>
          </w:p>
        </w:tc>
        <w:tc>
          <w:tcPr>
            <w:tcW w:w="1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40" w:type="dxa"/>
            <w:vAlign w:val="bottom"/>
            <w:gridSpan w:val="11"/>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Index for Notes to the Condensed Consolidated Financial Statements</w:t>
            </w:r>
          </w:p>
        </w:tc>
        <w:tc>
          <w:tcPr>
            <w:tcW w:w="18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Note 1</w:t>
            </w:r>
          </w:p>
        </w:tc>
        <w:tc>
          <w:tcPr>
            <w:tcW w:w="900" w:type="dxa"/>
            <w:vAlign w:val="bottom"/>
            <w:gridSpan w:val="2"/>
          </w:tcPr>
          <w:p>
            <w:pPr>
              <w:spacing w:after="0"/>
              <w:rPr>
                <w:sz w:val="24"/>
                <w:szCs w:val="24"/>
                <w:color w:val="auto"/>
              </w:rPr>
            </w:pPr>
          </w:p>
        </w:tc>
        <w:tc>
          <w:tcPr>
            <w:tcW w:w="324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638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Note 2</w:t>
            </w:r>
          </w:p>
        </w:tc>
        <w:tc>
          <w:tcPr>
            <w:tcW w:w="900" w:type="dxa"/>
            <w:vAlign w:val="bottom"/>
            <w:gridSpan w:val="2"/>
          </w:tcPr>
          <w:p>
            <w:pPr>
              <w:spacing w:after="0"/>
              <w:rPr>
                <w:sz w:val="19"/>
                <w:szCs w:val="19"/>
                <w:color w:val="auto"/>
              </w:rPr>
            </w:pP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Business Combinations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23"/>
        </w:trPr>
        <w:tc>
          <w:tcPr>
            <w:tcW w:w="20" w:type="dxa"/>
            <w:vAlign w:val="bottom"/>
          </w:tcPr>
          <w:p>
            <w:pPr>
              <w:spacing w:after="0"/>
              <w:rPr>
                <w:sz w:val="19"/>
                <w:szCs w:val="19"/>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Note 3</w:t>
            </w:r>
          </w:p>
        </w:tc>
        <w:tc>
          <w:tcPr>
            <w:tcW w:w="900" w:type="dxa"/>
            <w:vAlign w:val="bottom"/>
            <w:gridSpan w:val="2"/>
          </w:tcPr>
          <w:p>
            <w:pPr>
              <w:spacing w:after="0"/>
              <w:rPr>
                <w:sz w:val="19"/>
                <w:szCs w:val="19"/>
                <w:color w:val="auto"/>
              </w:rPr>
            </w:pPr>
          </w:p>
        </w:tc>
        <w:tc>
          <w:tcPr>
            <w:tcW w:w="104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5"/>
              </w:rPr>
              <w:t>Joint Ventures</w:t>
            </w:r>
          </w:p>
        </w:tc>
        <w:tc>
          <w:tcPr>
            <w:tcW w:w="660" w:type="dxa"/>
            <w:vAlign w:val="bottom"/>
            <w:tcBorders>
              <w:top w:val="single" w:sz="8" w:color="0000FF"/>
            </w:tcBorders>
            <w:gridSpan w:val="2"/>
          </w:tcPr>
          <w:p>
            <w:pPr>
              <w:spacing w:after="0"/>
              <w:rPr>
                <w:sz w:val="19"/>
                <w:szCs w:val="19"/>
                <w:color w:val="auto"/>
              </w:rPr>
            </w:pPr>
          </w:p>
        </w:tc>
        <w:tc>
          <w:tcPr>
            <w:tcW w:w="792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Note 4</w:t>
            </w:r>
          </w:p>
        </w:tc>
        <w:tc>
          <w:tcPr>
            <w:tcW w:w="900" w:type="dxa"/>
            <w:vAlign w:val="bottom"/>
            <w:gridSpan w:val="2"/>
          </w:tcPr>
          <w:p>
            <w:pPr>
              <w:spacing w:after="0"/>
              <w:rPr>
                <w:sz w:val="19"/>
                <w:szCs w:val="19"/>
                <w:color w:val="auto"/>
              </w:rPr>
            </w:pP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Receivables and Related Allowance for Credit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23"/>
        </w:trPr>
        <w:tc>
          <w:tcPr>
            <w:tcW w:w="20" w:type="dxa"/>
            <w:vAlign w:val="bottom"/>
          </w:tcPr>
          <w:p>
            <w:pPr>
              <w:spacing w:after="0"/>
              <w:rPr>
                <w:sz w:val="19"/>
                <w:szCs w:val="19"/>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Note 5</w:t>
            </w:r>
          </w:p>
        </w:tc>
        <w:tc>
          <w:tcPr>
            <w:tcW w:w="900" w:type="dxa"/>
            <w:vAlign w:val="bottom"/>
            <w:gridSpan w:val="2"/>
          </w:tcPr>
          <w:p>
            <w:pPr>
              <w:spacing w:after="0"/>
              <w:rPr>
                <w:sz w:val="19"/>
                <w:szCs w:val="19"/>
                <w:color w:val="auto"/>
              </w:rPr>
            </w:pPr>
          </w:p>
        </w:tc>
        <w:tc>
          <w:tcPr>
            <w:tcW w:w="208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Sales of Certain Receivables</w:t>
            </w:r>
          </w:p>
        </w:tc>
        <w:tc>
          <w:tcPr>
            <w:tcW w:w="1800" w:type="dxa"/>
            <w:vAlign w:val="bottom"/>
            <w:tcBorders>
              <w:top w:val="single" w:sz="8" w:color="0000FF"/>
            </w:tcBorders>
            <w:gridSpan w:val="7"/>
          </w:tcPr>
          <w:p>
            <w:pPr>
              <w:spacing w:after="0"/>
              <w:rPr>
                <w:sz w:val="19"/>
                <w:szCs w:val="19"/>
                <w:color w:val="auto"/>
              </w:rPr>
            </w:pPr>
          </w:p>
        </w:tc>
        <w:tc>
          <w:tcPr>
            <w:tcW w:w="5740" w:type="dxa"/>
            <w:vAlign w:val="bottom"/>
          </w:tcPr>
          <w:p>
            <w:pPr>
              <w:spacing w:after="0"/>
              <w:rPr>
                <w:sz w:val="19"/>
                <w:szCs w:val="19"/>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Note 6</w:t>
            </w:r>
          </w:p>
        </w:tc>
        <w:tc>
          <w:tcPr>
            <w:tcW w:w="900" w:type="dxa"/>
            <w:vAlign w:val="bottom"/>
            <w:gridSpan w:val="2"/>
          </w:tcPr>
          <w:p>
            <w:pPr>
              <w:spacing w:after="0"/>
              <w:rPr>
                <w:sz w:val="19"/>
                <w:szCs w:val="19"/>
                <w:color w:val="auto"/>
              </w:rPr>
            </w:pP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Spectrum License Transactions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23"/>
        </w:trPr>
        <w:tc>
          <w:tcPr>
            <w:tcW w:w="20" w:type="dxa"/>
            <w:vAlign w:val="bottom"/>
          </w:tcPr>
          <w:p>
            <w:pPr>
              <w:spacing w:after="0"/>
              <w:rPr>
                <w:sz w:val="19"/>
                <w:szCs w:val="19"/>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Note 7</w:t>
            </w:r>
          </w:p>
        </w:tc>
        <w:tc>
          <w:tcPr>
            <w:tcW w:w="900" w:type="dxa"/>
            <w:vAlign w:val="bottom"/>
            <w:gridSpan w:val="2"/>
          </w:tcPr>
          <w:p>
            <w:pPr>
              <w:spacing w:after="0"/>
              <w:rPr>
                <w:sz w:val="19"/>
                <w:szCs w:val="19"/>
                <w:color w:val="auto"/>
              </w:rPr>
            </w:pPr>
          </w:p>
        </w:tc>
        <w:tc>
          <w:tcPr>
            <w:tcW w:w="226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Fair Value Measurements</w:t>
            </w:r>
          </w:p>
        </w:tc>
        <w:tc>
          <w:tcPr>
            <w:tcW w:w="7360" w:type="dxa"/>
            <w:vAlign w:val="bottom"/>
            <w:gridSpan w:val="7"/>
          </w:tcPr>
          <w:p>
            <w:pPr>
              <w:spacing w:after="0"/>
              <w:rPr>
                <w:sz w:val="19"/>
                <w:szCs w:val="19"/>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23"/>
        </w:trPr>
        <w:tc>
          <w:tcPr>
            <w:tcW w:w="20" w:type="dxa"/>
            <w:vAlign w:val="bottom"/>
          </w:tcPr>
          <w:p>
            <w:pPr>
              <w:spacing w:after="0"/>
              <w:rPr>
                <w:sz w:val="19"/>
                <w:szCs w:val="19"/>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Note 8</w:t>
            </w:r>
          </w:p>
        </w:tc>
        <w:tc>
          <w:tcPr>
            <w:tcW w:w="900" w:type="dxa"/>
            <w:vAlign w:val="bottom"/>
            <w:gridSpan w:val="2"/>
          </w:tcPr>
          <w:p>
            <w:pPr>
              <w:spacing w:after="0"/>
              <w:rPr>
                <w:sz w:val="19"/>
                <w:szCs w:val="19"/>
                <w:color w:val="auto"/>
              </w:rPr>
            </w:pPr>
          </w:p>
        </w:tc>
        <w:tc>
          <w:tcPr>
            <w:tcW w:w="36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1"/>
              </w:rPr>
              <w:t>Debt</w:t>
            </w:r>
          </w:p>
        </w:tc>
        <w:tc>
          <w:tcPr>
            <w:tcW w:w="1480" w:type="dxa"/>
            <w:vAlign w:val="bottom"/>
            <w:tcBorders>
              <w:top w:val="single" w:sz="8" w:color="0000FF"/>
            </w:tcBorders>
            <w:gridSpan w:val="4"/>
          </w:tcPr>
          <w:p>
            <w:pPr>
              <w:spacing w:after="0"/>
              <w:rPr>
                <w:sz w:val="19"/>
                <w:szCs w:val="19"/>
                <w:color w:val="auto"/>
              </w:rPr>
            </w:pPr>
          </w:p>
        </w:tc>
        <w:tc>
          <w:tcPr>
            <w:tcW w:w="7780" w:type="dxa"/>
            <w:vAlign w:val="bottom"/>
            <w:gridSpan w:val="9"/>
          </w:tcPr>
          <w:p>
            <w:pPr>
              <w:spacing w:after="0"/>
              <w:rPr>
                <w:sz w:val="19"/>
                <w:szCs w:val="19"/>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23"/>
        </w:trPr>
        <w:tc>
          <w:tcPr>
            <w:tcW w:w="20" w:type="dxa"/>
            <w:vAlign w:val="bottom"/>
          </w:tcPr>
          <w:p>
            <w:pPr>
              <w:spacing w:after="0"/>
              <w:rPr>
                <w:sz w:val="19"/>
                <w:szCs w:val="19"/>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Note 9</w:t>
            </w:r>
          </w:p>
        </w:tc>
        <w:tc>
          <w:tcPr>
            <w:tcW w:w="820" w:type="dxa"/>
            <w:vAlign w:val="bottom"/>
          </w:tcPr>
          <w:p>
            <w:pPr>
              <w:spacing w:after="0"/>
              <w:rPr>
                <w:sz w:val="19"/>
                <w:szCs w:val="19"/>
                <w:color w:val="auto"/>
              </w:rPr>
            </w:pPr>
          </w:p>
        </w:tc>
        <w:tc>
          <w:tcPr>
            <w:tcW w:w="13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7"/>
              </w:rPr>
              <w:t>Tower Obligations</w:t>
            </w:r>
          </w:p>
        </w:tc>
        <w:tc>
          <w:tcPr>
            <w:tcW w:w="8240" w:type="dxa"/>
            <w:vAlign w:val="bottom"/>
            <w:gridSpan w:val="11"/>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r>
      <w:tr>
        <w:trPr>
          <w:trHeight w:val="223"/>
        </w:trPr>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Note 10</w:t>
            </w: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Revenue from Contracts with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23"/>
        </w:trPr>
        <w:tc>
          <w:tcPr>
            <w:tcW w:w="20" w:type="dxa"/>
            <w:vAlign w:val="bottom"/>
          </w:tcPr>
          <w:p>
            <w:pPr>
              <w:spacing w:after="0"/>
              <w:rPr>
                <w:sz w:val="19"/>
                <w:szCs w:val="19"/>
                <w:color w:val="auto"/>
              </w:rPr>
            </w:pPr>
          </w:p>
        </w:tc>
        <w:tc>
          <w:tcPr>
            <w:tcW w:w="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Note 11</w:t>
            </w:r>
          </w:p>
        </w:tc>
        <w:tc>
          <w:tcPr>
            <w:tcW w:w="820" w:type="dxa"/>
            <w:vAlign w:val="bottom"/>
          </w:tcPr>
          <w:p>
            <w:pPr>
              <w:spacing w:after="0"/>
              <w:rPr>
                <w:sz w:val="19"/>
                <w:szCs w:val="19"/>
                <w:color w:val="auto"/>
              </w:rPr>
            </w:pPr>
          </w:p>
        </w:tc>
        <w:tc>
          <w:tcPr>
            <w:tcW w:w="2940" w:type="dxa"/>
            <w:vAlign w:val="bottom"/>
            <w:tcBorders>
              <w:top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Segment Reporting</w:t>
            </w:r>
          </w:p>
        </w:tc>
        <w:tc>
          <w:tcPr>
            <w:tcW w:w="6680" w:type="dxa"/>
            <w:vAlign w:val="bottom"/>
            <w:gridSpan w:val="4"/>
          </w:tcPr>
          <w:p>
            <w:pPr>
              <w:spacing w:after="0"/>
              <w:rPr>
                <w:sz w:val="19"/>
                <w:szCs w:val="19"/>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Note 12</w:t>
            </w: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Stockholder Return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Note 13</w:t>
            </w: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0"/>
        </w:trPr>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Note 14</w:t>
            </w:r>
          </w:p>
        </w:tc>
        <w:tc>
          <w:tcPr>
            <w:tcW w:w="242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7200" w:type="dxa"/>
            <w:vAlign w:val="bottom"/>
            <w:gridSpan w:val="5"/>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r>
      <w:tr>
        <w:trPr>
          <w:trHeight w:val="223"/>
        </w:trPr>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Note 15</w:t>
            </w: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Restructuring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Note 16</w:t>
            </w: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Additional 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Note 17</w:t>
            </w:r>
          </w:p>
        </w:tc>
        <w:tc>
          <w:tcPr>
            <w:tcW w:w="96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Subsequent Events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T-Mobile US, Inc. (“T-Mobile,” “we,” “our,” “us” or the “Company”) include all adjustments of a normal recurring nature necessary for the fair presentation of the results for the interim periods presented. The results for the interim periods are not necessarily indicative of those for the full year. The condensed consolidated financial statements should be read in conjunction with our consolidated financial statements included in our Annual Report on Form 10-K for the year ended December 31, 2025.</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The condensed consolidated financial statements include the balances and results of operations of T-Mobile and our consolidated subsidiaries. We consolidate majority-owned subsidiaries over which we exercise control, variable interest entities (“VIEs”) for which we are deemed to be the primary beneficiary and VIEs which cannot be deconsolidated, such as those related to our tower obligations as discussed in </w:t>
      </w:r>
      <w:r>
        <w:rPr>
          <w:rFonts w:ascii="Times New Roman" w:cs="Times New Roman" w:eastAsia="Times New Roman" w:hAnsi="Times New Roman"/>
          <w:sz w:val="18"/>
          <w:szCs w:val="18"/>
          <w:u w:val="single" w:color="auto"/>
          <w:color w:val="0000FF"/>
        </w:rPr>
        <w:t>Note 9 – Tower Obligations</w:t>
      </w:r>
      <w:r>
        <w:rPr>
          <w:rFonts w:ascii="Times New Roman" w:cs="Times New Roman" w:eastAsia="Times New Roman" w:hAnsi="Times New Roman"/>
          <w:sz w:val="18"/>
          <w:szCs w:val="18"/>
          <w:color w:val="auto"/>
        </w:rPr>
        <w:t>. Intercompany transactions and balances have been eliminated in consolidation. Investments in entities that we do not control but have significant influence are accounted for under the equity method. We record our proportionate share of our equity method investees’ earnings (losses) within Other expense, net on our Condensed Consolidated Statements of Comprehensive Income.</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(“U.S.”) generally accepted accounting principles (“GAAP”) requires our management to make estimates and assumptions that affect the financial statements and accompanying notes. Estimates are based on historical experience, where applicable, and other assumptions that management believes are reasonable under the circumstances. Estimates are inherently subject to judgment and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Adopted During the Current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Reporting</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2025-11, “Interim Reporting (Topic 270): Narrow-Scope Improvements.” The standard improves the navigability of interim disclosures, clarifies when Topic 270 applies and provides additional interim disclosure guidance, including a principle to disclose material events since the most recent annual reporting period. The amendments do not change the underlying objectives of interim reporting but are designed to enhance clarity in application. We evaluated this standard and concluded our interim reporting disclosures are consistent with this standard. Accordingly, the adoption of this standard in the first quarter of 2026 did not have a material impact on our interim reporting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Accounting and Disclosures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The amendments remove all references to project stages in ASC 350-40, clarify the threshold entities apply to begin capitalizing costs and address challenges arising from the evolution of software development practices. The new guidance modernizes accounting for software developed using incremental and iterative methods, where the existing model provided limited direction on when capitalization should begin. The ASU also specifies that the disclosures under ASC 360-10, “Property, Plant, and Equipment—Overall,” apply to capitalized software costs accounted for under ASC 350-40, regardless of how those costs are presented in the financial statements. As of January 1, 2026, we have adopted this standard, and it was applied prospectively after this date. The adoption of this standard did not have a material impact on our condensed consolidated financial statements and related disclosures.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The standard will become effective for us for our fiscal year 2027 annual financial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statements and interim financial statements thereafter and may be applied prospectively to periods after the adoption date or retrospectively for all prior periods presented in the financial statements, with early adoption permitted. We plan to adopt the standard when it becomes effective for us beginning in our fiscal year 2027 annual financial statements, and we are currently evaluating the impact this guidance will have on the disclosures included in the 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Combinations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Ka’ena Corporation</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9, 2023, we entered into a merger and unit purchase agreement (the “Merger and Unit Purchase Agreement”) for the acquisition of 100% of the outstanding equity of Ka’ena Corporation and its subsidiaries, including, among others, Mint Mobile LLC (collectively, “Ka’ena”), for a maximum purchase price of $1.35 billion to be paid out 39% in cash and 61% in shares of T-Mobile common stock (the “Ka’ena Acquisition”). On March 13, 2024, we entered into Amendment No. 1 to the Merger and Unit Purchase Agreement, which amended, among other things, certain mechanics of the payment of the purchase consideration for the Ka’ena Acquisition, which resulted in a nominal increase in the percentage of cash compared to shares of T-Mobile common stock to be paid out as part of the total purchase price.</w:t>
      </w:r>
    </w:p>
    <w:p>
      <w:pPr>
        <w:spacing w:after="0" w:line="21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Upon the completion of certain customary closing conditions, including the receipt of certain regulatory approvals, on May 1, 2024 (the “Ka’ena Acquisition Date”), we completed the Ka’ena Acquisition, and as a result, Ka’ena became a wholly owned subsidiary of T-Mobile. Concurrently, and as agreed upon through the Merger and Unit Purchase Agreement, T-Mobile and Ka’ena entered into certain separate transactions, including the effective settlement of the preexisting wholesale arrangement between T-Mobile and Ka’ena and agreements with certain of the sellers to provide services to T-Mobile during the post-acquisition period.</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Merger and Unit Purchase Agreement, the total purchase price consists of an upfront payment made on the Ka’ena Acquisition Date and an earnout, which was paid on October 9, 2026. On June 30, 2025, we amended the Merger and Unit Purchase Agreement to set the calculation of the earnout as the difference between the maximum purchase price of $1.35 billion and the upfront payment, as adjusted, and removed the requirement for Ka’ena to achieve specified performance indicators.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Based on the amount of the adjusted upfront payment, an additional $420 million in future cash and T-Mobile common stock is payable in satisfaction of the earnout, including the replacement of equity awards of certain Ka’ena employees, related to:</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 million for the acquired Ka’ena business;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million for services provided to T-Mobile by certain sellers during the post-acquisition period.</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$251 million and $242 million, respectively, of liabilities for deferred earnout consideration for the acquired Ka’ena business and $169 million and $157 million, respectively, of liabilities for post-acquisition services are presented within current liabilities on our Condensed Consolidated Balance Sheets.</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Subsequent to September 30, 2026, on October 9, 2026, we transferred $164 million in cash and 1,510,371 shares of T-Mobile common stock in satisfaction of our $420 million earnout obligation. The number of shares of T-Mobile common stock transferred was determined based on the 20 trading day volume-weighted average price as of October 6, 2026, and we withheld 102,164 shares for associated tax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UScellular Wireless Business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May 24, 2024, we entered into a securities purchase agreement with United States Cellular Corporation (“UScellular”), Telephone and Data Systems, Inc. and USCC Wireless Holdings, LLC for the acquisition of substantially all of UScellular’s wireless operations and select AWS, PCS, 600 MHz, 700 MHz and other spectrum assets for an aggregate purchase price of approximately $4.4 billion, payable in cash and the assumption of up to $2.0 billion of debt through exchange offers to certain UScellular debtholders.</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May 23, 2025, we launched exchange offers (the “Exchange Offers”) for any and all of certain outstanding senior notes of UScellular for new notes of T-Mobile with the same interest rate, interest payment dates, maturity dates and redemption terms as each corresponding series of senior notes of UScellular.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July 22, 2025, we entered into three separate asset purchase agreements for the acquisition of substantially all of the wireless operations assets (together with UScellular’s wireless operations and select spectrum assets, the “UScellular Wireless Business”) of each of Farmers Cellular Telephone Company, Inc., Iowa RSA No. 9 Limited Partnership and Iowa RSA No. 12 Limited Partnership (collectively, the “Iowa Entities”) for an aggregate purchase price of $175 million payable in cash. Prior to our acquisition of the Iowa Entities, UScellular held a minority interest in each of the Iowa Entities.</w:t>
      </w:r>
    </w:p>
    <w:p>
      <w:pPr>
        <w:spacing w:after="0" w:line="19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August 1, 2025, upon the completion of certain customary closing conditions, including the receipt of certain regulatory approvals (the “UScellular Acquisition Date”), we completed the acquisition of the UScellular Wireless Business (the “UScellular Acquisition”), and as a result, the UScellular Wireless Business became wholly owned by T-Mobile. In exchange, on the UScellular Acquisition Date, we transferred cash of $2.8 billion. Additionally, the closing of the UScellular Acquisition obligated us to execute the Exchange Offers. UScellular senior notes with an aggregate outstanding principal balance of $1.7 billion were subsequently exchanged for T-Mobile notes in the Exchange Offers on August 5, 2025. The obligation to execute the Exchange Offers was recorded as debt assumed in the UScellular Acquisition with an aggregate assigned fair value of $1.7 billion.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Transferred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acquisition-date fair value of consideration transferred in the UScellular Acquisition is comprised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E20074"/>
          </w:tcPr>
          <w:p>
            <w:pPr>
              <w:spacing w:after="0"/>
              <w:rPr>
                <w:sz w:val="18"/>
                <w:szCs w:val="18"/>
                <w:color w:val="auto"/>
              </w:rPr>
            </w:pPr>
          </w:p>
        </w:tc>
        <w:tc>
          <w:tcPr>
            <w:tcW w:w="1260" w:type="dxa"/>
            <w:vAlign w:val="bottom"/>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August 1, 2025</w:t>
            </w:r>
          </w:p>
        </w:tc>
      </w:tr>
      <w:tr>
        <w:trPr>
          <w:trHeight w:val="210"/>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Fair value of cash paid on the UScellular Acquisition Date, as adjusted</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2,770</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T-Mobile replacement equity awards attributable to pre-combination service</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3"/>
        </w:trPr>
        <w:tc>
          <w:tcPr>
            <w:tcW w:w="980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980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Total fair value of consideration exchanged</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2,814</w:t>
            </w:r>
          </w:p>
        </w:tc>
      </w:tr>
      <w:tr>
        <w:trPr>
          <w:trHeight w:val="27"/>
        </w:trPr>
        <w:tc>
          <w:tcPr>
            <w:tcW w:w="9800" w:type="dxa"/>
            <w:vAlign w:val="bottom"/>
            <w:shd w:val="clear" w:color="auto" w:fill="DBDBDB"/>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accounted for the UScellular Acquisition as a business combination. The identifiable assets acquired and liabilities assumed of the UScellular Wireless Business were recorded at their fair values as of the UScellular Acquisition Date and consolidated with those of T-Mobile. Assigning fair values to the assets acquired and liabilities assumed at the UScellular Acquisition Date required the use of judgment regarding estimates and assumptions. For the fair values of the assets acquired and liabilities assumed, we used the cost, income and market approaches.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assigned fair values for each class of assets acquired and liabilities assumed at the UScellular Acquisition Date, including immaterial adjustments based on information identified during the measurement period, which closed on July 31, 2026. We retained the services of certified valuation specialists to assist with assigning values to certain acquired assets and liabilities assumed.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E20074"/>
          </w:tcPr>
          <w:p>
            <w:pPr>
              <w:spacing w:after="0"/>
              <w:rPr>
                <w:sz w:val="18"/>
                <w:szCs w:val="18"/>
                <w:color w:val="auto"/>
              </w:rPr>
            </w:pPr>
          </w:p>
        </w:tc>
        <w:tc>
          <w:tcPr>
            <w:tcW w:w="1260" w:type="dxa"/>
            <w:vAlign w:val="bottom"/>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August 1, 2025</w:t>
            </w:r>
          </w:p>
        </w:tc>
      </w:tr>
      <w:tr>
        <w:trPr>
          <w:trHeight w:val="209"/>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2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Equipment installment plan receivables</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503</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1,451</w:t>
            </w: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Operating lease right-of-use assets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licenses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r>
      <w:tr>
        <w:trPr>
          <w:trHeight w:val="2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407</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installment plan receivables due after one year</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2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3"/>
        </w:trPr>
        <w:tc>
          <w:tcPr>
            <w:tcW w:w="980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980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Total assets acquired</w:t>
            </w:r>
          </w:p>
        </w:tc>
        <w:tc>
          <w:tcPr>
            <w:tcW w:w="18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6,586</w:t>
            </w:r>
          </w:p>
        </w:tc>
      </w:tr>
      <w:tr>
        <w:trPr>
          <w:trHeight w:val="18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3"/>
        </w:trPr>
        <w:tc>
          <w:tcPr>
            <w:tcW w:w="9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Short-term operating lease liabilities </w:t>
            </w:r>
            <w:r>
              <w:rPr>
                <w:rFonts w:ascii="Times New Roman" w:cs="Times New Roman" w:eastAsia="Times New Roman" w:hAnsi="Times New Roman"/>
                <w:sz w:val="18"/>
                <w:szCs w:val="18"/>
                <w:color w:val="auto"/>
                <w:vertAlign w:val="superscript"/>
              </w:rPr>
              <w:t>(1)</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216"/>
        </w:trPr>
        <w:tc>
          <w:tcPr>
            <w:tcW w:w="98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 xml:space="preserve">Operating lease liabilities </w:t>
            </w:r>
            <w:r>
              <w:rPr>
                <w:rFonts w:ascii="Times New Roman" w:cs="Times New Roman" w:eastAsia="Times New Roman" w:hAnsi="Times New Roman"/>
                <w:sz w:val="18"/>
                <w:szCs w:val="18"/>
                <w:color w:val="auto"/>
                <w:vertAlign w:val="superscript"/>
              </w:rPr>
              <w:t>(1)</w:t>
            </w:r>
          </w:p>
        </w:tc>
        <w:tc>
          <w:tcPr>
            <w:tcW w:w="18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1,029</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3"/>
        </w:trPr>
        <w:tc>
          <w:tcPr>
            <w:tcW w:w="980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980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18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3,772</w:t>
            </w: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consideration transferred</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ind w:left="340" w:right="380" w:hanging="332"/>
        <w:spacing w:after="0" w:line="28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$749 million, $51 million and $698 million of Operating lease right-of-use assets, Short-term operating lease liabilities and Operating lease liabilities, respectively, for towers associated with the UScellular master license agreement where we were not leasing tower space prior to the UScellular Acquisition Date.</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to execute the Exchange Offers was recorded as debt assumed in the UScellular Acquisition with an aggregate assigned fair value of $1.7 billion.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Goodwill was assigned to our Wireless segment and has an assigned value of $206 million, which represents the excess of the consideration transferred over the fair values of assets acquired and liabilities assumed. The assigned goodwill recognized includes synergies expected to be achieved from the operations of the combined company, the assembled workforce of UScellular and intangible assets that do not qualify for separate recognition. Of the total assigned amount of goodwill resulting from the UScellular Acquisition of $206 million, the amount deductible for tax purposes is $181 million. Expected synergies from the UScellular Acquisition include the cost savings from the planned integration of network infrastructure, facilities, personnel and systems.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Vistar Media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20, 2024, we entered into an agreement and plan of merger for the acquisition of 100% of the outstanding capital stock of Vistar Media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(“Vistar”), a provider of technology solutions for digital-out-of-home advertisements (the “Vistar Acquisition”).</w:t>
      </w:r>
    </w:p>
    <w:p>
      <w:pPr>
        <w:spacing w:after="0" w:line="23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Upon the completion of certain customary closing conditions, including the receipt of certain regulatory approvals, on February 3, 2025 (the “Vistar Acquisition Date”), we completed the Vistar Acquisition, and as a result, Vistar became a wholly owned subsidiary of T-Mobile. In exchange, we transferred cash of $621 million. A portion of the payment made on the Vistar Acquisition Date was for the settlement of preexisting relationships with Vistar and is excluded from the fair value of consideration transferred.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accounted for the Vistar Acquisition as a business combination. The identifiable assets acquired and liabilities assumed from Vistar were recorded at their fair values as of the Vistar Acquisition Date and consolidated with those of T-Mobile. Assigning fair values to the assets acquired and liabilities assumed at the Vistar Acquisition Date required the use of judgment regarding estimates and assumptions. For the fair values of the assets acquired and liabilities assumed, we used the cost and income approaches.</w:t>
      </w:r>
    </w:p>
    <w:p>
      <w:pPr>
        <w:spacing w:after="0" w:line="207"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assigned fair values for each class of assets acquired and liabilities assumed at the Vistar Acquisition Date, including immaterial adjustments based on information identified during the measurement period, which closed on February 2,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shd w:val="clear" w:color="auto" w:fill="E20074"/>
          </w:tcPr>
          <w:p>
            <w:pPr>
              <w:spacing w:after="0"/>
              <w:rPr>
                <w:sz w:val="18"/>
                <w:szCs w:val="18"/>
                <w:color w:val="auto"/>
              </w:rPr>
            </w:pPr>
          </w:p>
        </w:tc>
        <w:tc>
          <w:tcPr>
            <w:tcW w:w="1300" w:type="dxa"/>
            <w:vAlign w:val="bottom"/>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February 3, 2025</w:t>
            </w:r>
          </w:p>
        </w:tc>
      </w:tr>
      <w:tr>
        <w:trPr>
          <w:trHeight w:val="209"/>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3"/>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Prepaid expense and other current assets</w:t>
            </w:r>
          </w:p>
        </w:tc>
        <w:tc>
          <w:tcPr>
            <w:tcW w:w="1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23"/>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4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86"/>
        </w:trPr>
        <w:tc>
          <w:tcPr>
            <w:tcW w:w="9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 acquired</w:t>
            </w: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w:t>
            </w:r>
          </w:p>
        </w:tc>
      </w:tr>
      <w:tr>
        <w:trPr>
          <w:trHeight w:val="23"/>
        </w:trPr>
        <w:tc>
          <w:tcPr>
            <w:tcW w:w="98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4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9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3"/>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
        </w:trPr>
        <w:tc>
          <w:tcPr>
            <w:tcW w:w="98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980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14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17"/>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consideration transferred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Blis Holdco Limited</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February 18, 2025, we entered into a share purchase agreement for the acquisition of 100% of the outstanding capital stock of Blis Holdco Limited (“Blis”), a provider of advertising solutions (the “Blis Acquisition”).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the completion of certain customary closing conditions, including the receipt of certain regulatory approvals, on March 3, 2025 (the “Blis Acquisition Date”), we completed the Blis Acquisition, and as a result, Blis became a wholly owned subsidiary of T-Mobile. In exchange, we transferred cash of $180 million. A portion of the payment made on the Blis Acquisition Date was for the settlement of preexisting relationships with Blis and is excluded from the fair value of consideration transferred.</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accounted for the Blis Acquisition as a business combination. The fair value of consideration transferred as of the Blis Acquisition Date totaled $174 million. The identifiable assets acquired and liabilities assumed from Blis were recorded at their fair values as of the Blis Acquisition Date and consolidated with those of T-Mobile. The assigned fair values of total assets acquired were $263 million, including goodwill of $103 million, and total liabilities assumed were $89 million at the Blis Acquisition Date. These amounts reflect immaterial adjustments based on information identified during the measurement period, which closed on March 2,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Fiber Joint Ventures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i3 Broadband Joint Venture</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24, 2026, we entered into a definitive agreement with an affiliate of Wren House Infrastructure Management Limited (“Wren House”) to establish a joint venture to acquire i3 Broadband, one of Wren House’s existing fiber portfolio companies. Subsequent to September 30, 2026, on October 1, 2026, we completed the joint acquisition of i3 Broadband upon the completion of certain customary closing conditions, including the receipt of certain regulatory approvals. At closing, we invested $671 million to acquire a 50% equity interest in the joint venture and substantially all existing residential fiber customers.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GoNetspeed and Greenlight Networks Joint Venture</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April 25, 2026, we entered into definitive agreements with affiliates of Oak Hill Capital Management, LLC (“Oak Hill”) to establish a joint venture to acquire GoNetspeed and Greenlight Networks, two of Oak Hill’s existing fiber portfolio companies. The transaction with Oak Hill is expected to close in the first half of 2027, subject to customary closing conditions and regulatory approvals, at which time we expect to invest approximately $2.0 billion to acquire a 50% equity interest in the joint venture and substantially all existing residential fiber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Method of Accounting</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Upon closing of these transactions, we expect to account for these fiber joint ventures under the equity method of accounting and recognize service revenues for the acquired fiber customers and wholesale costs paid to the joint venture for network access within Postpaid revenues and Cost of services, respectively, on our Condensed Consolidated Statements of Comprehensive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with AT&amp;T and Verizon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14, 2026, we entered into definitive agreements and formed a joint venture with AT&amp;T Inc. and Verizon Communications Inc., or wholly owned subsidiaries thereof, which aims to end wireless dead zones in the U.S., including in rural areas, by pooling certain spectrum resources to increase capacity and help satellite providers reach more customers through a unified platform. We expect to license certain intellectual property to the joint venture, and will also commit to provide access to certain spectrum licenses to satellite service providers who contract with the joint venture. The formation of this joint venture did not have a material impact on our condensed consolidated financial statements. We account for the joint venture with AT&amp;T and Verizon under the equity method of accounting.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and Related Allowance for Credit Losses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an allowance for credit losses by applying an expected credit loss model. Each period, management assesses the appropriateness of the level of allowance for credit losses by considering credit risk inherent within each portfolio segment as of the end of the period.</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consider a receivable past due when a customer has not paid us by the contractually specified payment due date. Account balances are written off against the allowance for credit losses if collection efforts are unsuccessful and the receivable balance is deemed uncollectible (customer default), based on factors such as customer credit ratings, as well as the length of time the amounts are past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receivables consists of two portfolio segments: accounts receivable and equipment installment plan (“EIP”) receivables.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Portfolio Segment</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Accounts receivable balances are predominantly composed of amounts currently due from customers (e.g., for wireless communications services), device insurance administrators, wholesale partners, other carriers and third-party retail channels.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estimate credit losses associated with our accounts receivable portfolio segment using an expected credit loss model, which utilizes an aging schedule methodology based on historical information and is adjusted for asset-specific considerations, current economic conditions and reasonable and supportable forecasts.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approach considers a number of factors, including our overall historical credit losses and payment experience, as well as current collection trends, such as write-off frequency and severity. We also consider other qualitative factors such as current and forecasted macroeconomic conditions.</w:t>
      </w:r>
    </w:p>
    <w:p>
      <w:pPr>
        <w:spacing w:after="0" w:line="18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consider the need to adjust our estimate of credit losses for reasonable and supportable forecasts of future macroeconomic conditions. To do so, we monitor external forecasts of changes in real U.S. gross domestic product and forecasts of consumer credit behavior for comparable credit exposures.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EIP Receivables Portfolio Segment</w:t>
      </w:r>
    </w:p>
    <w:p>
      <w:pPr>
        <w:spacing w:after="0" w:line="24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At the time of device purchase, qualified customers can finance all or a portion of the individual device or accessory purchase price and associated taxes and fees over an installment period, generally of 24 or 36 months, using an EIP. Depending on the EIP the customer selects, an EIP is offered at zero interest or with a stated rate of interest, with the stated rate of interest dependent on customer credit quality.</w:t>
      </w:r>
    </w:p>
    <w:p>
      <w:pPr>
        <w:spacing w:after="0" w:line="2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upon customer credit profiles at the time of customer origination, as well as subsequent credit performance, we designate the EIP receivables segment into two customer classes of “Prime” and “Subprime.” Prime customer receivables are those with lower credit risk, and Subprime customer receivables are those with higher credit risk. Customers may be required to make a down payment on their equipment purchases if their assessed credit risk exceeds established underwriting thresholds. In addition, certain customers within the Subprime category may be required to pay a deposit.</w:t>
      </w:r>
    </w:p>
    <w:p>
      <w:pPr>
        <w:spacing w:after="0" w:line="20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To determine a customer’s credit profile and assist in determining their credit class, we use a proprietary credit scoring model that measures the credit quality of a customer leveraging several factors, such as credit bureau information and consumer credit risk scores, as well as service and device plan characteristics.</w:t>
      </w:r>
    </w:p>
    <w:p>
      <w:pPr>
        <w:spacing w:after="0" w:line="20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EIP receivables had a combined weighted-average effective interest rate of 10.9% and 10.3% as of September 30, 2026, and December 31,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EIP receivables, including unamortized discounts and related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EIP receivables, gross</w:t>
            </w:r>
          </w:p>
        </w:tc>
        <w:tc>
          <w:tcPr>
            <w:tcW w:w="20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7,909</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8,626</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Unamortized discount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23"/>
        </w:trPr>
        <w:tc>
          <w:tcPr>
            <w:tcW w:w="826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EIP receivables, net of unamortized discount</w:t>
            </w:r>
          </w:p>
        </w:tc>
        <w:tc>
          <w:tcPr>
            <w:tcW w:w="20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8,060</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23"/>
        </w:trPr>
        <w:tc>
          <w:tcPr>
            <w:tcW w:w="826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EIP receivables, net of allowance for credit losses and unamortized discount</w:t>
            </w:r>
          </w:p>
        </w:tc>
        <w:tc>
          <w:tcPr>
            <w:tcW w:w="20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300" w:type="dxa"/>
            <w:vAlign w:val="bottom"/>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0" w:type="dxa"/>
            <w:vAlign w:val="bottom"/>
          </w:tcPr>
          <w:p>
            <w:pPr>
              <w:spacing w:after="0"/>
              <w:rPr>
                <w:sz w:val="1"/>
                <w:szCs w:val="1"/>
                <w:color w:val="auto"/>
              </w:rPr>
            </w:pPr>
          </w:p>
        </w:tc>
      </w:tr>
      <w:tr>
        <w:trPr>
          <w:trHeight w:val="171"/>
        </w:trPr>
        <w:tc>
          <w:tcPr>
            <w:tcW w:w="8260" w:type="dxa"/>
            <w:vAlign w:val="bottom"/>
            <w:tcBorders>
              <w:top w:val="single" w:sz="8" w:color="DBDBDB"/>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Classified on our condensed consolidated balance sheets as:</w:t>
            </w: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DBDBDB"/>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Equipment installment plan receivables, net of allowance for credit losses and unamortized discount</w:t>
            </w:r>
          </w:p>
        </w:tc>
        <w:tc>
          <w:tcPr>
            <w:tcW w:w="20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installment plan receivables due after one year, net of allowance for credit losses and unamortized discount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0" w:type="dxa"/>
            <w:vAlign w:val="bottom"/>
          </w:tcPr>
          <w:p>
            <w:pPr>
              <w:spacing w:after="0"/>
              <w:rPr>
                <w:sz w:val="1"/>
                <w:szCs w:val="1"/>
                <w:color w:val="auto"/>
              </w:rPr>
            </w:pPr>
          </w:p>
        </w:tc>
      </w:tr>
      <w:tr>
        <w:trPr>
          <w:trHeight w:val="23"/>
        </w:trPr>
        <w:tc>
          <w:tcPr>
            <w:tcW w:w="826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6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EIP receivables, net of allowance for credit losses and unamortized discount</w:t>
            </w: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6,987</w:t>
            </w: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-1294130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Many of our loss estimation techniques rely on delinquency-based models categorized by customer credit class; therefore, delinquency is an important indicator of credit quality in the establishment of our allowance for credit losses for EIP receivables. We manage our EIP receivables portfolio segment using delinquency and customer credit class as key credit quality indicators.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of our EIP receivables by delinquency status, customer credit class and year of origination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52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860" w:type="dxa"/>
            <w:vAlign w:val="bottom"/>
            <w:gridSpan w:val="4"/>
            <w:vMerge w:val="restart"/>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Originated in 2026</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880" w:type="dxa"/>
            <w:vAlign w:val="bottom"/>
            <w:gridSpan w:val="4"/>
            <w:vMerge w:val="restart"/>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Originated in 2025</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900" w:type="dxa"/>
            <w:vAlign w:val="bottom"/>
            <w:gridSpan w:val="4"/>
            <w:vMerge w:val="restart"/>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Originated prior to 2025</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2300" w:type="dxa"/>
            <w:vAlign w:val="bottom"/>
            <w:gridSpan w:val="6"/>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Total EIP Receivables, Net of</w:t>
            </w:r>
          </w:p>
        </w:tc>
        <w:tc>
          <w:tcPr>
            <w:tcW w:w="680" w:type="dxa"/>
            <w:vAlign w:val="bottom"/>
            <w:shd w:val="clear" w:color="auto" w:fill="E20074"/>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860" w:type="dxa"/>
            <w:vAlign w:val="bottom"/>
            <w:gridSpan w:val="4"/>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880" w:type="dxa"/>
            <w:vAlign w:val="bottom"/>
            <w:gridSpan w:val="4"/>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900" w:type="dxa"/>
            <w:vAlign w:val="bottom"/>
            <w:gridSpan w:val="4"/>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2300" w:type="dxa"/>
            <w:vAlign w:val="bottom"/>
            <w:gridSpan w:val="6"/>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Unamortized Discount</w:t>
            </w:r>
          </w:p>
        </w:tc>
        <w:tc>
          <w:tcPr>
            <w:tcW w:w="68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E20074"/>
            </w:tcBorders>
            <w:shd w:val="clear" w:color="auto" w:fill="E20074"/>
          </w:tcPr>
          <w:p>
            <w:pPr>
              <w:spacing w:after="0"/>
              <w:rPr>
                <w:sz w:val="18"/>
                <w:szCs w:val="18"/>
                <w:color w:val="auto"/>
              </w:rPr>
            </w:pPr>
          </w:p>
        </w:tc>
        <w:tc>
          <w:tcPr>
            <w:tcW w:w="760" w:type="dxa"/>
            <w:vAlign w:val="bottom"/>
            <w:tcBorders>
              <w:bottom w:val="single" w:sz="8" w:color="E20074"/>
            </w:tcBorders>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Prime</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860" w:type="dxa"/>
            <w:vAlign w:val="bottom"/>
            <w:tcBorders>
              <w:bottom w:val="single" w:sz="8" w:color="E20074"/>
            </w:tcBorders>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Subprime</w:t>
            </w:r>
          </w:p>
        </w:tc>
        <w:tc>
          <w:tcPr>
            <w:tcW w:w="10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780" w:type="dxa"/>
            <w:vAlign w:val="bottom"/>
            <w:tcBorders>
              <w:bottom w:val="single" w:sz="8" w:color="E20074"/>
            </w:tcBorders>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Prime</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860" w:type="dxa"/>
            <w:vAlign w:val="bottom"/>
            <w:tcBorders>
              <w:bottom w:val="single" w:sz="8" w:color="E20074"/>
            </w:tcBorders>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Subprime</w:t>
            </w:r>
          </w:p>
        </w:tc>
        <w:tc>
          <w:tcPr>
            <w:tcW w:w="10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800" w:type="dxa"/>
            <w:vAlign w:val="bottom"/>
            <w:tcBorders>
              <w:bottom w:val="single" w:sz="8" w:color="E20074"/>
            </w:tcBorders>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Prime</w:t>
            </w:r>
          </w:p>
        </w:tc>
        <w:tc>
          <w:tcPr>
            <w:tcW w:w="100" w:type="dxa"/>
            <w:vAlign w:val="bottom"/>
          </w:tcPr>
          <w:p>
            <w:pPr>
              <w:spacing w:after="0"/>
              <w:rPr>
                <w:sz w:val="18"/>
                <w:szCs w:val="18"/>
                <w:color w:val="auto"/>
              </w:rPr>
            </w:pPr>
          </w:p>
        </w:tc>
        <w:tc>
          <w:tcPr>
            <w:tcW w:w="140" w:type="dxa"/>
            <w:vAlign w:val="bottom"/>
            <w:tcBorders>
              <w:bottom w:val="single" w:sz="8" w:color="E20074"/>
            </w:tcBorders>
            <w:shd w:val="clear" w:color="auto" w:fill="E20074"/>
          </w:tcPr>
          <w:p>
            <w:pPr>
              <w:spacing w:after="0"/>
              <w:rPr>
                <w:sz w:val="18"/>
                <w:szCs w:val="18"/>
                <w:color w:val="auto"/>
              </w:rPr>
            </w:pPr>
          </w:p>
        </w:tc>
        <w:tc>
          <w:tcPr>
            <w:tcW w:w="860" w:type="dxa"/>
            <w:vAlign w:val="bottom"/>
            <w:tcBorders>
              <w:bottom w:val="single" w:sz="8" w:color="E20074"/>
            </w:tcBorders>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Subprime</w:t>
            </w:r>
          </w:p>
        </w:tc>
        <w:tc>
          <w:tcPr>
            <w:tcW w:w="10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780" w:type="dxa"/>
            <w:vAlign w:val="bottom"/>
            <w:tcBorders>
              <w:bottom w:val="single" w:sz="8" w:color="E20074"/>
            </w:tcBorders>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Prime</w:t>
            </w:r>
          </w:p>
        </w:tc>
        <w:tc>
          <w:tcPr>
            <w:tcW w:w="100" w:type="dxa"/>
            <w:vAlign w:val="bottom"/>
          </w:tcPr>
          <w:p>
            <w:pPr>
              <w:spacing w:after="0"/>
              <w:rPr>
                <w:sz w:val="18"/>
                <w:szCs w:val="18"/>
                <w:color w:val="auto"/>
              </w:rPr>
            </w:pPr>
          </w:p>
        </w:tc>
        <w:tc>
          <w:tcPr>
            <w:tcW w:w="160" w:type="dxa"/>
            <w:vAlign w:val="bottom"/>
            <w:tcBorders>
              <w:bottom w:val="single" w:sz="8" w:color="E20074"/>
            </w:tcBorders>
            <w:shd w:val="clear" w:color="auto" w:fill="E20074"/>
          </w:tcPr>
          <w:p>
            <w:pPr>
              <w:spacing w:after="0"/>
              <w:rPr>
                <w:sz w:val="18"/>
                <w:szCs w:val="18"/>
                <w:color w:val="auto"/>
              </w:rPr>
            </w:pPr>
          </w:p>
        </w:tc>
        <w:tc>
          <w:tcPr>
            <w:tcW w:w="840" w:type="dxa"/>
            <w:vAlign w:val="bottom"/>
            <w:tcBorders>
              <w:bottom w:val="single" w:sz="8" w:color="E20074"/>
            </w:tcBorders>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Subprime</w:t>
            </w:r>
          </w:p>
        </w:tc>
        <w:tc>
          <w:tcPr>
            <w:tcW w:w="120" w:type="dxa"/>
            <w:vAlign w:val="bottom"/>
          </w:tcPr>
          <w:p>
            <w:pPr>
              <w:spacing w:after="0"/>
              <w:rPr>
                <w:sz w:val="18"/>
                <w:szCs w:val="18"/>
                <w:color w:val="auto"/>
              </w:rPr>
            </w:pPr>
          </w:p>
        </w:tc>
        <w:tc>
          <w:tcPr>
            <w:tcW w:w="30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66"/>
        </w:trPr>
        <w:tc>
          <w:tcPr>
            <w:tcW w:w="15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Current - 30 days past</w:t>
            </w:r>
          </w:p>
        </w:tc>
        <w:tc>
          <w:tcPr>
            <w:tcW w:w="200" w:type="dxa"/>
            <w:vAlign w:val="bottom"/>
            <w:vMerge w:val="restart"/>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696</w:t>
            </w:r>
          </w:p>
        </w:tc>
        <w:tc>
          <w:tcPr>
            <w:tcW w:w="300" w:type="dxa"/>
            <w:vAlign w:val="bottom"/>
            <w:gridSpan w:val="2"/>
            <w:vMerge w:val="restart"/>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2,182</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300" w:type="dxa"/>
            <w:vAlign w:val="bottom"/>
            <w:gridSpan w:val="2"/>
            <w:vMerge w:val="restart"/>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00" w:type="dxa"/>
            <w:vAlign w:val="bottom"/>
            <w:gridSpan w:val="2"/>
            <w:vMerge w:val="restart"/>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2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420" w:type="dxa"/>
            <w:vAlign w:val="bottom"/>
            <w:gridSpan w:val="2"/>
            <w:vMerge w:val="restart"/>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7,163</w:t>
            </w:r>
          </w:p>
        </w:tc>
        <w:tc>
          <w:tcPr>
            <w:tcW w:w="0" w:type="dxa"/>
            <w:vAlign w:val="bottom"/>
          </w:tcPr>
          <w:p>
            <w:pPr>
              <w:spacing w:after="0"/>
              <w:rPr>
                <w:sz w:val="1"/>
                <w:szCs w:val="1"/>
                <w:color w:val="auto"/>
              </w:rPr>
            </w:pPr>
          </w:p>
        </w:tc>
      </w:tr>
      <w:tr>
        <w:trPr>
          <w:trHeight w:val="198"/>
        </w:trPr>
        <w:tc>
          <w:tcPr>
            <w:tcW w:w="15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due</w:t>
            </w:r>
          </w:p>
        </w:tc>
        <w:tc>
          <w:tcPr>
            <w:tcW w:w="200" w:type="dxa"/>
            <w:vAlign w:val="bottom"/>
            <w:vMerge w:val="continue"/>
            <w:shd w:val="clear" w:color="auto" w:fill="DDDDDD"/>
          </w:tcPr>
          <w:p>
            <w:pPr>
              <w:spacing w:after="0"/>
              <w:rPr>
                <w:sz w:val="17"/>
                <w:szCs w:val="17"/>
                <w:color w:val="auto"/>
              </w:rPr>
            </w:pPr>
          </w:p>
        </w:tc>
        <w:tc>
          <w:tcPr>
            <w:tcW w:w="760" w:type="dxa"/>
            <w:vAlign w:val="bottom"/>
            <w:vMerge w:val="continue"/>
            <w:shd w:val="clear" w:color="auto" w:fill="DDDDDD"/>
          </w:tcPr>
          <w:p>
            <w:pPr>
              <w:spacing w:after="0"/>
              <w:rPr>
                <w:sz w:val="17"/>
                <w:szCs w:val="17"/>
                <w:color w:val="auto"/>
              </w:rPr>
            </w:pPr>
          </w:p>
        </w:tc>
        <w:tc>
          <w:tcPr>
            <w:tcW w:w="240" w:type="dxa"/>
            <w:vAlign w:val="bottom"/>
            <w:gridSpan w:val="2"/>
            <w:vMerge w:val="continue"/>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300" w:type="dxa"/>
            <w:vAlign w:val="bottom"/>
            <w:gridSpan w:val="2"/>
            <w:vMerge w:val="continue"/>
            <w:shd w:val="clear" w:color="auto" w:fill="DDDDDD"/>
          </w:tcPr>
          <w:p>
            <w:pPr>
              <w:spacing w:after="0"/>
              <w:rPr>
                <w:sz w:val="17"/>
                <w:szCs w:val="17"/>
                <w:color w:val="auto"/>
              </w:rPr>
            </w:pPr>
          </w:p>
        </w:tc>
        <w:tc>
          <w:tcPr>
            <w:tcW w:w="780" w:type="dxa"/>
            <w:vAlign w:val="bottom"/>
            <w:vMerge w:val="continue"/>
            <w:shd w:val="clear" w:color="auto" w:fill="DDDDDD"/>
          </w:tcPr>
          <w:p>
            <w:pPr>
              <w:spacing w:after="0"/>
              <w:rPr>
                <w:sz w:val="17"/>
                <w:szCs w:val="17"/>
                <w:color w:val="auto"/>
              </w:rPr>
            </w:pPr>
          </w:p>
        </w:tc>
        <w:tc>
          <w:tcPr>
            <w:tcW w:w="240" w:type="dxa"/>
            <w:vAlign w:val="bottom"/>
            <w:gridSpan w:val="2"/>
            <w:vMerge w:val="continue"/>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300" w:type="dxa"/>
            <w:vAlign w:val="bottom"/>
            <w:gridSpan w:val="2"/>
            <w:vMerge w:val="continue"/>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240" w:type="dxa"/>
            <w:vAlign w:val="bottom"/>
            <w:gridSpan w:val="2"/>
            <w:vMerge w:val="continue"/>
            <w:shd w:val="clear" w:color="auto" w:fill="DDDDDD"/>
          </w:tcPr>
          <w:p>
            <w:pPr>
              <w:spacing w:after="0"/>
              <w:rPr>
                <w:sz w:val="17"/>
                <w:szCs w:val="17"/>
                <w:color w:val="auto"/>
              </w:rPr>
            </w:pPr>
          </w:p>
        </w:tc>
        <w:tc>
          <w:tcPr>
            <w:tcW w:w="860" w:type="dxa"/>
            <w:vAlign w:val="bottom"/>
            <w:vMerge w:val="continue"/>
            <w:shd w:val="clear" w:color="auto" w:fill="DDDDDD"/>
          </w:tcPr>
          <w:p>
            <w:pPr>
              <w:spacing w:after="0"/>
              <w:rPr>
                <w:sz w:val="17"/>
                <w:szCs w:val="17"/>
                <w:color w:val="auto"/>
              </w:rPr>
            </w:pPr>
          </w:p>
        </w:tc>
        <w:tc>
          <w:tcPr>
            <w:tcW w:w="300" w:type="dxa"/>
            <w:vAlign w:val="bottom"/>
            <w:gridSpan w:val="2"/>
            <w:vMerge w:val="continue"/>
            <w:shd w:val="clear" w:color="auto" w:fill="DDDDDD"/>
          </w:tcPr>
          <w:p>
            <w:pPr>
              <w:spacing w:after="0"/>
              <w:rPr>
                <w:sz w:val="17"/>
                <w:szCs w:val="17"/>
                <w:color w:val="auto"/>
              </w:rPr>
            </w:pPr>
          </w:p>
        </w:tc>
        <w:tc>
          <w:tcPr>
            <w:tcW w:w="780" w:type="dxa"/>
            <w:vAlign w:val="bottom"/>
            <w:vMerge w:val="continue"/>
            <w:shd w:val="clear" w:color="auto" w:fill="DDDDDD"/>
          </w:tcPr>
          <w:p>
            <w:pPr>
              <w:spacing w:after="0"/>
              <w:rPr>
                <w:sz w:val="17"/>
                <w:szCs w:val="17"/>
                <w:color w:val="auto"/>
              </w:rPr>
            </w:pPr>
          </w:p>
        </w:tc>
        <w:tc>
          <w:tcPr>
            <w:tcW w:w="260" w:type="dxa"/>
            <w:vAlign w:val="bottom"/>
            <w:gridSpan w:val="2"/>
            <w:vMerge w:val="continue"/>
            <w:shd w:val="clear" w:color="auto" w:fill="DDDDDD"/>
          </w:tcPr>
          <w:p>
            <w:pPr>
              <w:spacing w:after="0"/>
              <w:rPr>
                <w:sz w:val="17"/>
                <w:szCs w:val="17"/>
                <w:color w:val="auto"/>
              </w:rPr>
            </w:pPr>
          </w:p>
        </w:tc>
        <w:tc>
          <w:tcPr>
            <w:tcW w:w="840" w:type="dxa"/>
            <w:vAlign w:val="bottom"/>
            <w:vMerge w:val="continue"/>
            <w:shd w:val="clear" w:color="auto" w:fill="DDDDDD"/>
          </w:tcPr>
          <w:p>
            <w:pPr>
              <w:spacing w:after="0"/>
              <w:rPr>
                <w:sz w:val="17"/>
                <w:szCs w:val="17"/>
                <w:color w:val="auto"/>
              </w:rPr>
            </w:pPr>
          </w:p>
        </w:tc>
        <w:tc>
          <w:tcPr>
            <w:tcW w:w="420" w:type="dxa"/>
            <w:vAlign w:val="bottom"/>
            <w:gridSpan w:val="2"/>
            <w:vMerge w:val="continue"/>
            <w:shd w:val="clear" w:color="auto" w:fill="DDDDDD"/>
          </w:tcPr>
          <w:p>
            <w:pPr>
              <w:spacing w:after="0"/>
              <w:rPr>
                <w:sz w:val="17"/>
                <w:szCs w:val="17"/>
                <w:color w:val="auto"/>
              </w:rPr>
            </w:pPr>
          </w:p>
        </w:tc>
        <w:tc>
          <w:tcPr>
            <w:tcW w:w="68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31 - 60 days past due</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61 - 90 days past due</w:t>
            </w:r>
          </w:p>
        </w:tc>
        <w:tc>
          <w:tcPr>
            <w:tcW w:w="200" w:type="dxa"/>
            <w:vAlign w:val="bottom"/>
            <w:tcBorders>
              <w:bottom w:val="single" w:sz="8" w:color="DDDDDD"/>
            </w:tcBorders>
            <w:shd w:val="clear" w:color="auto" w:fill="DDDDDD"/>
          </w:tcPr>
          <w:p>
            <w:pPr>
              <w:spacing w:after="0"/>
              <w:rPr>
                <w:sz w:val="17"/>
                <w:szCs w:val="17"/>
                <w:color w:val="auto"/>
              </w:rPr>
            </w:pP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78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DDDDDD"/>
            </w:tcBorders>
            <w:shd w:val="clear" w:color="auto" w:fill="DDDDDD"/>
          </w:tcPr>
          <w:p>
            <w:pPr>
              <w:spacing w:after="0"/>
              <w:rPr>
                <w:sz w:val="17"/>
                <w:szCs w:val="17"/>
                <w:color w:val="auto"/>
              </w:rPr>
            </w:pPr>
          </w:p>
        </w:tc>
        <w:tc>
          <w:tcPr>
            <w:tcW w:w="14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DDDDDD"/>
            </w:tcBorders>
            <w:shd w:val="clear" w:color="auto" w:fill="DDDDDD"/>
          </w:tcPr>
          <w:p>
            <w:pPr>
              <w:spacing w:after="0"/>
              <w:rPr>
                <w:sz w:val="17"/>
                <w:szCs w:val="17"/>
                <w:color w:val="auto"/>
              </w:rPr>
            </w:pPr>
          </w:p>
        </w:tc>
        <w:tc>
          <w:tcPr>
            <w:tcW w:w="160" w:type="dxa"/>
            <w:vAlign w:val="bottom"/>
            <w:tcBorders>
              <w:bottom w:val="single" w:sz="8" w:color="DDDDDD"/>
            </w:tcBorders>
            <w:shd w:val="clear" w:color="auto" w:fill="DDDDDD"/>
          </w:tcPr>
          <w:p>
            <w:pPr>
              <w:spacing w:after="0"/>
              <w:rPr>
                <w:sz w:val="17"/>
                <w:szCs w:val="17"/>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DDDDDD"/>
            </w:tcBorders>
            <w:shd w:val="clear" w:color="auto" w:fill="DDDDDD"/>
          </w:tcPr>
          <w:p>
            <w:pPr>
              <w:spacing w:after="0"/>
              <w:rPr>
                <w:sz w:val="17"/>
                <w:szCs w:val="17"/>
                <w:color w:val="auto"/>
              </w:rPr>
            </w:pPr>
          </w:p>
        </w:tc>
        <w:tc>
          <w:tcPr>
            <w:tcW w:w="30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53"/>
        </w:trPr>
        <w:tc>
          <w:tcPr>
            <w:tcW w:w="15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More than 90 days past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3"/>
        </w:trPr>
        <w:tc>
          <w:tcPr>
            <w:tcW w:w="152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4"/>
                <w:szCs w:val="14"/>
                <w:color w:val="auto"/>
              </w:rPr>
              <w:t>due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20" w:type="dxa"/>
            <w:vAlign w:val="bottom"/>
            <w:shd w:val="clear" w:color="auto" w:fill="DDDDDD"/>
          </w:tcPr>
          <w:p>
            <w:pPr>
              <w:ind w:left="240"/>
              <w:spacing w:after="0" w:line="138" w:lineRule="exact"/>
              <w:rPr>
                <w:sz w:val="20"/>
                <w:szCs w:val="20"/>
                <w:color w:val="auto"/>
              </w:rPr>
            </w:pPr>
            <w:r>
              <w:rPr>
                <w:rFonts w:ascii="Times New Roman" w:cs="Times New Roman" w:eastAsia="Times New Roman" w:hAnsi="Times New Roman"/>
                <w:sz w:val="14"/>
                <w:szCs w:val="14"/>
                <w:color w:val="auto"/>
              </w:rPr>
              <w:t>EIP receivables, net</w:t>
            </w:r>
          </w:p>
        </w:tc>
        <w:tc>
          <w:tcPr>
            <w:tcW w:w="200" w:type="dxa"/>
            <w:vAlign w:val="bottom"/>
            <w:shd w:val="clear" w:color="auto" w:fill="DDDDDD"/>
          </w:tcPr>
          <w:p>
            <w:pPr>
              <w:spacing w:after="0"/>
              <w:rPr>
                <w:sz w:val="11"/>
                <w:szCs w:val="11"/>
                <w:color w:val="auto"/>
              </w:rPr>
            </w:pPr>
          </w:p>
        </w:tc>
        <w:tc>
          <w:tcPr>
            <w:tcW w:w="76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20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200" w:type="dxa"/>
            <w:vAlign w:val="bottom"/>
            <w:shd w:val="clear" w:color="auto" w:fill="DDDDDD"/>
          </w:tcPr>
          <w:p>
            <w:pPr>
              <w:spacing w:after="0"/>
              <w:rPr>
                <w:sz w:val="11"/>
                <w:szCs w:val="11"/>
                <w:color w:val="auto"/>
              </w:rPr>
            </w:pPr>
          </w:p>
        </w:tc>
        <w:tc>
          <w:tcPr>
            <w:tcW w:w="80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86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200" w:type="dxa"/>
            <w:vAlign w:val="bottom"/>
            <w:shd w:val="clear" w:color="auto" w:fill="DDDDDD"/>
          </w:tcPr>
          <w:p>
            <w:pPr>
              <w:spacing w:after="0"/>
              <w:rPr>
                <w:sz w:val="11"/>
                <w:szCs w:val="11"/>
                <w:color w:val="auto"/>
              </w:rPr>
            </w:pPr>
          </w:p>
        </w:tc>
        <w:tc>
          <w:tcPr>
            <w:tcW w:w="7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300" w:type="dxa"/>
            <w:vAlign w:val="bottom"/>
            <w:shd w:val="clear" w:color="auto" w:fill="DDDDDD"/>
          </w:tcPr>
          <w:p>
            <w:pPr>
              <w:spacing w:after="0"/>
              <w:rPr>
                <w:sz w:val="11"/>
                <w:szCs w:val="11"/>
                <w:color w:val="auto"/>
              </w:rPr>
            </w:pPr>
          </w:p>
        </w:tc>
        <w:tc>
          <w:tcPr>
            <w:tcW w:w="68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DDDDDD"/>
          </w:tcPr>
          <w:p>
            <w:pPr>
              <w:ind w:left="240"/>
              <w:spacing w:after="0" w:line="149" w:lineRule="exact"/>
              <w:rPr>
                <w:sz w:val="20"/>
                <w:szCs w:val="20"/>
                <w:color w:val="auto"/>
              </w:rPr>
            </w:pPr>
            <w:r>
              <w:rPr>
                <w:rFonts w:ascii="Times New Roman" w:cs="Times New Roman" w:eastAsia="Times New Roman" w:hAnsi="Times New Roman"/>
                <w:sz w:val="14"/>
                <w:szCs w:val="14"/>
                <w:color w:val="auto"/>
              </w:rPr>
              <w:t>of unamortized</w:t>
            </w:r>
          </w:p>
        </w:tc>
        <w:tc>
          <w:tcPr>
            <w:tcW w:w="200" w:type="dxa"/>
            <w:vAlign w:val="bottom"/>
            <w:vMerge w:val="restart"/>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100" w:type="dxa"/>
            <w:vAlign w:val="bottom"/>
            <w:vMerge w:val="restart"/>
            <w:shd w:val="clear" w:color="auto" w:fill="DDDDDD"/>
          </w:tcPr>
          <w:p>
            <w:pPr>
              <w:spacing w:after="0"/>
              <w:rPr>
                <w:sz w:val="12"/>
                <w:szCs w:val="12"/>
                <w:color w:val="auto"/>
              </w:rPr>
            </w:pPr>
          </w:p>
        </w:tc>
        <w:tc>
          <w:tcPr>
            <w:tcW w:w="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vMerge w:val="restart"/>
            <w:shd w:val="clear" w:color="auto" w:fill="DDDDDD"/>
          </w:tcPr>
          <w:p>
            <w:pPr>
              <w:spacing w:after="0"/>
              <w:rPr>
                <w:sz w:val="12"/>
                <w:szCs w:val="12"/>
                <w:color w:val="auto"/>
              </w:rPr>
            </w:pPr>
          </w:p>
        </w:tc>
        <w:tc>
          <w:tcPr>
            <w:tcW w:w="200" w:type="dxa"/>
            <w:vAlign w:val="bottom"/>
            <w:vMerge w:val="restart"/>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vMerge w:val="restart"/>
            <w:shd w:val="clear" w:color="auto" w:fill="DDDDDD"/>
          </w:tcPr>
          <w:p>
            <w:pPr>
              <w:spacing w:after="0"/>
              <w:rPr>
                <w:sz w:val="12"/>
                <w:szCs w:val="12"/>
                <w:color w:val="auto"/>
              </w:rPr>
            </w:pPr>
          </w:p>
        </w:tc>
        <w:tc>
          <w:tcPr>
            <w:tcW w:w="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vMerge w:val="restart"/>
            <w:shd w:val="clear" w:color="auto" w:fill="DDDDDD"/>
          </w:tcPr>
          <w:p>
            <w:pPr>
              <w:spacing w:after="0"/>
              <w:rPr>
                <w:sz w:val="12"/>
                <w:szCs w:val="12"/>
                <w:color w:val="auto"/>
              </w:rPr>
            </w:pPr>
          </w:p>
        </w:tc>
        <w:tc>
          <w:tcPr>
            <w:tcW w:w="200" w:type="dxa"/>
            <w:vAlign w:val="bottom"/>
            <w:vMerge w:val="restart"/>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vMerge w:val="restart"/>
            <w:shd w:val="clear" w:color="auto" w:fill="DDDDDD"/>
          </w:tcPr>
          <w:p>
            <w:pPr>
              <w:spacing w:after="0"/>
              <w:rPr>
                <w:sz w:val="12"/>
                <w:szCs w:val="12"/>
                <w:color w:val="auto"/>
              </w:rPr>
            </w:pPr>
          </w:p>
        </w:tc>
        <w:tc>
          <w:tcPr>
            <w:tcW w:w="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vMerge w:val="restart"/>
            <w:shd w:val="clear" w:color="auto" w:fill="DDDDDD"/>
          </w:tcPr>
          <w:p>
            <w:pPr>
              <w:spacing w:after="0"/>
              <w:rPr>
                <w:sz w:val="12"/>
                <w:szCs w:val="12"/>
                <w:color w:val="auto"/>
              </w:rPr>
            </w:pPr>
          </w:p>
        </w:tc>
        <w:tc>
          <w:tcPr>
            <w:tcW w:w="200" w:type="dxa"/>
            <w:vAlign w:val="bottom"/>
            <w:vMerge w:val="restart"/>
            <w:shd w:val="clear" w:color="auto" w:fill="DDDDDD"/>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vMerge w:val="restart"/>
            <w:shd w:val="clear" w:color="auto" w:fill="DDDDDD"/>
          </w:tcPr>
          <w:p>
            <w:pPr>
              <w:spacing w:after="0"/>
              <w:rPr>
                <w:sz w:val="12"/>
                <w:szCs w:val="12"/>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vMerge w:val="restart"/>
            <w:shd w:val="clear" w:color="auto" w:fill="DDDDDD"/>
          </w:tcPr>
          <w:p>
            <w:pPr>
              <w:spacing w:after="0"/>
              <w:rPr>
                <w:sz w:val="12"/>
                <w:szCs w:val="12"/>
                <w:color w:val="auto"/>
              </w:rPr>
            </w:pPr>
          </w:p>
        </w:tc>
        <w:tc>
          <w:tcPr>
            <w:tcW w:w="300" w:type="dxa"/>
            <w:vAlign w:val="bottom"/>
            <w:vMerge w:val="restart"/>
            <w:shd w:val="clear" w:color="auto" w:fill="DDDDDD"/>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DDDDDD"/>
            </w:tcBorders>
            <w:shd w:val="clear" w:color="auto" w:fill="DDDDDD"/>
          </w:tcPr>
          <w:p>
            <w:pPr>
              <w:ind w:left="240"/>
              <w:spacing w:after="0"/>
              <w:rPr>
                <w:sz w:val="20"/>
                <w:szCs w:val="20"/>
                <w:color w:val="auto"/>
              </w:rPr>
            </w:pPr>
            <w:r>
              <w:rPr>
                <w:rFonts w:ascii="Times New Roman" w:cs="Times New Roman" w:eastAsia="Times New Roman" w:hAnsi="Times New Roman"/>
                <w:sz w:val="14"/>
                <w:szCs w:val="14"/>
                <w:color w:val="auto"/>
              </w:rPr>
              <w:t>discount</w:t>
            </w:r>
          </w:p>
        </w:tc>
        <w:tc>
          <w:tcPr>
            <w:tcW w:w="200" w:type="dxa"/>
            <w:vAlign w:val="bottom"/>
            <w:tcBorders>
              <w:bottom w:val="single" w:sz="8" w:color="auto"/>
            </w:tcBorders>
            <w:vMerge w:val="continue"/>
            <w:shd w:val="clear" w:color="auto" w:fill="DDDDDD"/>
          </w:tcPr>
          <w:p>
            <w:pPr>
              <w:spacing w:after="0"/>
              <w:rPr>
                <w:sz w:val="16"/>
                <w:szCs w:val="16"/>
                <w:color w:val="auto"/>
              </w:rPr>
            </w:pPr>
          </w:p>
        </w:tc>
        <w:tc>
          <w:tcPr>
            <w:tcW w:w="76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DDDDDD"/>
            </w:tcBorders>
            <w:vMerge w:val="continue"/>
            <w:shd w:val="clear" w:color="auto" w:fill="DDDDDD"/>
          </w:tcPr>
          <w:p>
            <w:pPr>
              <w:spacing w:after="0"/>
              <w:rPr>
                <w:sz w:val="16"/>
                <w:szCs w:val="16"/>
                <w:color w:val="auto"/>
              </w:rPr>
            </w:pPr>
          </w:p>
        </w:tc>
        <w:tc>
          <w:tcPr>
            <w:tcW w:w="140" w:type="dxa"/>
            <w:vAlign w:val="bottom"/>
            <w:tcBorders>
              <w:bottom w:val="single" w:sz="8" w:color="auto"/>
            </w:tcBorders>
            <w:vMerge w:val="continue"/>
            <w:shd w:val="clear" w:color="auto" w:fill="DDDDDD"/>
          </w:tcPr>
          <w:p>
            <w:pPr>
              <w:spacing w:after="0"/>
              <w:rPr>
                <w:sz w:val="16"/>
                <w:szCs w:val="16"/>
                <w:color w:val="auto"/>
              </w:rPr>
            </w:pPr>
          </w:p>
        </w:tc>
        <w:tc>
          <w:tcPr>
            <w:tcW w:w="86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DDDDDD"/>
            </w:tcBorders>
            <w:vMerge w:val="continue"/>
            <w:shd w:val="clear" w:color="auto" w:fill="DDDDDD"/>
          </w:tcPr>
          <w:p>
            <w:pPr>
              <w:spacing w:after="0"/>
              <w:rPr>
                <w:sz w:val="16"/>
                <w:szCs w:val="16"/>
                <w:color w:val="auto"/>
              </w:rPr>
            </w:pPr>
          </w:p>
        </w:tc>
        <w:tc>
          <w:tcPr>
            <w:tcW w:w="200" w:type="dxa"/>
            <w:vAlign w:val="bottom"/>
            <w:tcBorders>
              <w:bottom w:val="single" w:sz="8" w:color="auto"/>
            </w:tcBorders>
            <w:vMerge w:val="continue"/>
            <w:shd w:val="clear" w:color="auto" w:fill="DDDDDD"/>
          </w:tcPr>
          <w:p>
            <w:pPr>
              <w:spacing w:after="0"/>
              <w:rPr>
                <w:sz w:val="16"/>
                <w:szCs w:val="16"/>
                <w:color w:val="auto"/>
              </w:rPr>
            </w:pPr>
          </w:p>
        </w:tc>
        <w:tc>
          <w:tcPr>
            <w:tcW w:w="78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DDDDDD"/>
            </w:tcBorders>
            <w:vMerge w:val="continue"/>
            <w:shd w:val="clear" w:color="auto" w:fill="DDDDDD"/>
          </w:tcPr>
          <w:p>
            <w:pPr>
              <w:spacing w:after="0"/>
              <w:rPr>
                <w:sz w:val="16"/>
                <w:szCs w:val="16"/>
                <w:color w:val="auto"/>
              </w:rPr>
            </w:pPr>
          </w:p>
        </w:tc>
        <w:tc>
          <w:tcPr>
            <w:tcW w:w="140" w:type="dxa"/>
            <w:vAlign w:val="bottom"/>
            <w:tcBorders>
              <w:bottom w:val="single" w:sz="8" w:color="auto"/>
            </w:tcBorders>
            <w:vMerge w:val="continue"/>
            <w:shd w:val="clear" w:color="auto" w:fill="DDDDDD"/>
          </w:tcPr>
          <w:p>
            <w:pPr>
              <w:spacing w:after="0"/>
              <w:rPr>
                <w:sz w:val="16"/>
                <w:szCs w:val="16"/>
                <w:color w:val="auto"/>
              </w:rPr>
            </w:pPr>
          </w:p>
        </w:tc>
        <w:tc>
          <w:tcPr>
            <w:tcW w:w="86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DDDDDD"/>
            </w:tcBorders>
            <w:vMerge w:val="continue"/>
            <w:shd w:val="clear" w:color="auto" w:fill="DDDDDD"/>
          </w:tcPr>
          <w:p>
            <w:pPr>
              <w:spacing w:after="0"/>
              <w:rPr>
                <w:sz w:val="16"/>
                <w:szCs w:val="16"/>
                <w:color w:val="auto"/>
              </w:rPr>
            </w:pPr>
          </w:p>
        </w:tc>
        <w:tc>
          <w:tcPr>
            <w:tcW w:w="200" w:type="dxa"/>
            <w:vAlign w:val="bottom"/>
            <w:tcBorders>
              <w:bottom w:val="single" w:sz="8" w:color="auto"/>
            </w:tcBorders>
            <w:vMerge w:val="continue"/>
            <w:shd w:val="clear" w:color="auto" w:fill="DDDDDD"/>
          </w:tcPr>
          <w:p>
            <w:pPr>
              <w:spacing w:after="0"/>
              <w:rPr>
                <w:sz w:val="16"/>
                <w:szCs w:val="16"/>
                <w:color w:val="auto"/>
              </w:rPr>
            </w:pPr>
          </w:p>
        </w:tc>
        <w:tc>
          <w:tcPr>
            <w:tcW w:w="80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DDDDDD"/>
            </w:tcBorders>
            <w:vMerge w:val="continue"/>
            <w:shd w:val="clear" w:color="auto" w:fill="DDDDDD"/>
          </w:tcPr>
          <w:p>
            <w:pPr>
              <w:spacing w:after="0"/>
              <w:rPr>
                <w:sz w:val="16"/>
                <w:szCs w:val="16"/>
                <w:color w:val="auto"/>
              </w:rPr>
            </w:pPr>
          </w:p>
        </w:tc>
        <w:tc>
          <w:tcPr>
            <w:tcW w:w="140" w:type="dxa"/>
            <w:vAlign w:val="bottom"/>
            <w:tcBorders>
              <w:bottom w:val="single" w:sz="8" w:color="auto"/>
            </w:tcBorders>
            <w:vMerge w:val="continue"/>
            <w:shd w:val="clear" w:color="auto" w:fill="DDDDDD"/>
          </w:tcPr>
          <w:p>
            <w:pPr>
              <w:spacing w:after="0"/>
              <w:rPr>
                <w:sz w:val="16"/>
                <w:szCs w:val="16"/>
                <w:color w:val="auto"/>
              </w:rPr>
            </w:pPr>
          </w:p>
        </w:tc>
        <w:tc>
          <w:tcPr>
            <w:tcW w:w="86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DDDDDD"/>
            </w:tcBorders>
            <w:vMerge w:val="continue"/>
            <w:shd w:val="clear" w:color="auto" w:fill="DDDDDD"/>
          </w:tcPr>
          <w:p>
            <w:pPr>
              <w:spacing w:after="0"/>
              <w:rPr>
                <w:sz w:val="16"/>
                <w:szCs w:val="16"/>
                <w:color w:val="auto"/>
              </w:rPr>
            </w:pPr>
          </w:p>
        </w:tc>
        <w:tc>
          <w:tcPr>
            <w:tcW w:w="200" w:type="dxa"/>
            <w:vAlign w:val="bottom"/>
            <w:tcBorders>
              <w:bottom w:val="single" w:sz="8" w:color="auto"/>
            </w:tcBorders>
            <w:vMerge w:val="continue"/>
            <w:shd w:val="clear" w:color="auto" w:fill="DDDDDD"/>
          </w:tcPr>
          <w:p>
            <w:pPr>
              <w:spacing w:after="0"/>
              <w:rPr>
                <w:sz w:val="16"/>
                <w:szCs w:val="16"/>
                <w:color w:val="auto"/>
              </w:rPr>
            </w:pPr>
          </w:p>
        </w:tc>
        <w:tc>
          <w:tcPr>
            <w:tcW w:w="78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DDDDDD"/>
            </w:tcBorders>
            <w:vMerge w:val="continue"/>
            <w:shd w:val="clear" w:color="auto" w:fill="DDDDDD"/>
          </w:tcPr>
          <w:p>
            <w:pPr>
              <w:spacing w:after="0"/>
              <w:rPr>
                <w:sz w:val="16"/>
                <w:szCs w:val="16"/>
                <w:color w:val="auto"/>
              </w:rPr>
            </w:pPr>
          </w:p>
        </w:tc>
        <w:tc>
          <w:tcPr>
            <w:tcW w:w="160" w:type="dxa"/>
            <w:vAlign w:val="bottom"/>
            <w:tcBorders>
              <w:bottom w:val="single" w:sz="8" w:color="auto"/>
            </w:tcBorders>
            <w:vMerge w:val="continue"/>
            <w:shd w:val="clear" w:color="auto" w:fill="DDDDDD"/>
          </w:tcPr>
          <w:p>
            <w:pPr>
              <w:spacing w:after="0"/>
              <w:rPr>
                <w:sz w:val="16"/>
                <w:szCs w:val="16"/>
                <w:color w:val="auto"/>
              </w:rPr>
            </w:pPr>
          </w:p>
        </w:tc>
        <w:tc>
          <w:tcPr>
            <w:tcW w:w="840" w:type="dxa"/>
            <w:vAlign w:val="bottom"/>
            <w:tcBorders>
              <w:bottom w:val="single" w:sz="8" w:color="auto"/>
            </w:tcBorders>
            <w:vMerge w:val="continue"/>
            <w:shd w:val="clear" w:color="auto" w:fill="DDDDDD"/>
          </w:tcPr>
          <w:p>
            <w:pPr>
              <w:spacing w:after="0"/>
              <w:rPr>
                <w:sz w:val="16"/>
                <w:szCs w:val="16"/>
                <w:color w:val="auto"/>
              </w:rPr>
            </w:pPr>
          </w:p>
        </w:tc>
        <w:tc>
          <w:tcPr>
            <w:tcW w:w="120" w:type="dxa"/>
            <w:vAlign w:val="bottom"/>
            <w:tcBorders>
              <w:bottom w:val="single" w:sz="8" w:color="DDDDDD"/>
            </w:tcBorders>
            <w:vMerge w:val="continue"/>
            <w:shd w:val="clear" w:color="auto" w:fill="DDDDDD"/>
          </w:tcPr>
          <w:p>
            <w:pPr>
              <w:spacing w:after="0"/>
              <w:rPr>
                <w:sz w:val="16"/>
                <w:szCs w:val="16"/>
                <w:color w:val="auto"/>
              </w:rPr>
            </w:pPr>
          </w:p>
        </w:tc>
        <w:tc>
          <w:tcPr>
            <w:tcW w:w="300" w:type="dxa"/>
            <w:vAlign w:val="bottom"/>
            <w:tcBorders>
              <w:bottom w:val="single" w:sz="8" w:color="auto"/>
            </w:tcBorders>
            <w:vMerge w:val="continue"/>
            <w:shd w:val="clear" w:color="auto" w:fill="DDDDDD"/>
          </w:tcPr>
          <w:p>
            <w:pPr>
              <w:spacing w:after="0"/>
              <w:rPr>
                <w:sz w:val="16"/>
                <w:szCs w:val="16"/>
                <w:color w:val="auto"/>
              </w:rPr>
            </w:pPr>
          </w:p>
        </w:tc>
        <w:tc>
          <w:tcPr>
            <w:tcW w:w="680" w:type="dxa"/>
            <w:vAlign w:val="bottom"/>
            <w:tcBorders>
              <w:bottom w:val="single" w:sz="8" w:color="auto"/>
            </w:tcBorders>
            <w:vMerge w:val="continue"/>
            <w:shd w:val="clear" w:color="auto" w:fill="DDDDDD"/>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estimate credit losses on our EIP receivables segment by applying an expected credit loss model, which relies on historical loss data adjusted for current conditions to calculate default probabilities or an estimate for the frequency of customer default. Our assessment of default probabilities or frequency includes receivables delinquency status, historical loss experience, how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long the receivables have been outstanding and customer credit ratings, as well as customer tenure. We multiply these estimated default probabilities by our estimated loss given default, which is the estimated amount of default or the severity of loss.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we do for our accounts receivable portfolio segment, we consider the need to adjust our estimate of credit losses on EIP receivables for reasonable and supportable forecasts of economic conditions through monitoring external forecasts and periodic internal statistical analyses.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write-offs of our EIP receivables by year of origination for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shd w:val="clear" w:color="auto" w:fill="E20074"/>
          </w:tcPr>
          <w:p>
            <w:pPr>
              <w:spacing w:after="0"/>
              <w:rPr>
                <w:sz w:val="14"/>
                <w:szCs w:val="14"/>
                <w:color w:val="auto"/>
              </w:rPr>
            </w:pPr>
          </w:p>
        </w:tc>
        <w:tc>
          <w:tcPr>
            <w:tcW w:w="1320" w:type="dxa"/>
            <w:vAlign w:val="bottom"/>
            <w:vMerge w:val="restart"/>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Originated in 2026</w:t>
            </w:r>
          </w:p>
        </w:tc>
        <w:tc>
          <w:tcPr>
            <w:tcW w:w="12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320" w:type="dxa"/>
            <w:vAlign w:val="bottom"/>
            <w:vMerge w:val="restart"/>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Originated in 2025</w:t>
            </w:r>
          </w:p>
        </w:tc>
        <w:tc>
          <w:tcPr>
            <w:tcW w:w="100" w:type="dxa"/>
            <w:vAlign w:val="bottom"/>
          </w:tcPr>
          <w:p>
            <w:pPr>
              <w:spacing w:after="0"/>
              <w:rPr>
                <w:sz w:val="14"/>
                <w:szCs w:val="14"/>
                <w:color w:val="auto"/>
              </w:rPr>
            </w:pPr>
          </w:p>
        </w:tc>
        <w:tc>
          <w:tcPr>
            <w:tcW w:w="120" w:type="dxa"/>
            <w:vAlign w:val="bottom"/>
            <w:shd w:val="clear" w:color="auto" w:fill="E20074"/>
          </w:tcPr>
          <w:p>
            <w:pPr>
              <w:spacing w:after="0"/>
              <w:rPr>
                <w:sz w:val="14"/>
                <w:szCs w:val="14"/>
                <w:color w:val="auto"/>
              </w:rPr>
            </w:pPr>
          </w:p>
        </w:tc>
        <w:tc>
          <w:tcPr>
            <w:tcW w:w="1320" w:type="dxa"/>
            <w:vAlign w:val="bottom"/>
            <w:shd w:val="clear" w:color="auto" w:fill="E20074"/>
          </w:tcPr>
          <w:p>
            <w:pPr>
              <w:jc w:val="center"/>
              <w:ind w:right="28"/>
              <w:spacing w:after="0"/>
              <w:rPr>
                <w:sz w:val="20"/>
                <w:szCs w:val="20"/>
                <w:color w:val="auto"/>
              </w:rPr>
            </w:pPr>
            <w:r>
              <w:rPr>
                <w:rFonts w:ascii="Times New Roman" w:cs="Times New Roman" w:eastAsia="Times New Roman" w:hAnsi="Times New Roman"/>
                <w:sz w:val="14"/>
                <w:szCs w:val="14"/>
                <w:b w:val="1"/>
                <w:bCs w:val="1"/>
                <w:color w:val="FFFFFF"/>
              </w:rPr>
              <w:t>Originated prior to</w:t>
            </w:r>
          </w:p>
        </w:tc>
        <w:tc>
          <w:tcPr>
            <w:tcW w:w="100" w:type="dxa"/>
            <w:vAlign w:val="bottom"/>
          </w:tcPr>
          <w:p>
            <w:pPr>
              <w:spacing w:after="0"/>
              <w:rPr>
                <w:sz w:val="14"/>
                <w:szCs w:val="14"/>
                <w:color w:val="auto"/>
              </w:rPr>
            </w:pPr>
          </w:p>
        </w:tc>
        <w:tc>
          <w:tcPr>
            <w:tcW w:w="340" w:type="dxa"/>
            <w:vAlign w:val="bottom"/>
            <w:shd w:val="clear" w:color="auto" w:fill="E20074"/>
          </w:tcPr>
          <w:p>
            <w:pPr>
              <w:spacing w:after="0"/>
              <w:rPr>
                <w:sz w:val="14"/>
                <w:szCs w:val="14"/>
                <w:color w:val="auto"/>
              </w:rPr>
            </w:pPr>
          </w:p>
        </w:tc>
        <w:tc>
          <w:tcPr>
            <w:tcW w:w="1100" w:type="dxa"/>
            <w:vAlign w:val="bottom"/>
            <w:vMerge w:val="restart"/>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200"/>
        </w:trPr>
        <w:tc>
          <w:tcPr>
            <w:tcW w:w="5200" w:type="dxa"/>
            <w:vAlign w:val="bottom"/>
            <w:vMerge w:val="continue"/>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320" w:type="dxa"/>
            <w:vAlign w:val="bottom"/>
            <w:vMerge w:val="continue"/>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32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32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7"/>
                <w:szCs w:val="17"/>
                <w:color w:val="auto"/>
              </w:rPr>
            </w:pPr>
          </w:p>
        </w:tc>
        <w:tc>
          <w:tcPr>
            <w:tcW w:w="340" w:type="dxa"/>
            <w:vAlign w:val="bottom"/>
            <w:shd w:val="clear" w:color="auto" w:fill="E20074"/>
          </w:tcPr>
          <w:p>
            <w:pPr>
              <w:spacing w:after="0"/>
              <w:rPr>
                <w:sz w:val="17"/>
                <w:szCs w:val="17"/>
                <w:color w:val="auto"/>
              </w:rPr>
            </w:pPr>
          </w:p>
        </w:tc>
        <w:tc>
          <w:tcPr>
            <w:tcW w:w="1100" w:type="dxa"/>
            <w:vAlign w:val="bottom"/>
            <w:vMerge w:val="continue"/>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440" w:type="dxa"/>
            <w:vAlign w:val="bottom"/>
            <w:gridSpan w:val="2"/>
            <w:shd w:val="clear" w:color="auto" w:fill="DDDDDD"/>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23"/>
        </w:trPr>
        <w:tc>
          <w:tcPr>
            <w:tcW w:w="520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1320" w:type="dxa"/>
            <w:vAlign w:val="bottom"/>
            <w:shd w:val="clear" w:color="auto" w:fill="DDDDDD"/>
          </w:tcPr>
          <w:p>
            <w:pPr>
              <w:spacing w:after="0"/>
              <w:rPr>
                <w:sz w:val="2"/>
                <w:szCs w:val="2"/>
                <w:color w:val="auto"/>
              </w:rPr>
            </w:pPr>
          </w:p>
        </w:tc>
        <w:tc>
          <w:tcPr>
            <w:tcW w:w="12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132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120" w:type="dxa"/>
            <w:vAlign w:val="bottom"/>
            <w:shd w:val="clear" w:color="auto" w:fill="DDDDDD"/>
          </w:tcPr>
          <w:p>
            <w:pPr>
              <w:spacing w:after="0"/>
              <w:rPr>
                <w:sz w:val="2"/>
                <w:szCs w:val="2"/>
                <w:color w:val="auto"/>
              </w:rPr>
            </w:pPr>
          </w:p>
        </w:tc>
        <w:tc>
          <w:tcPr>
            <w:tcW w:w="132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340" w:type="dxa"/>
            <w:vAlign w:val="bottom"/>
            <w:shd w:val="clear" w:color="auto" w:fill="DDDDDD"/>
          </w:tcPr>
          <w:p>
            <w:pPr>
              <w:spacing w:after="0"/>
              <w:rPr>
                <w:sz w:val="2"/>
                <w:szCs w:val="2"/>
                <w:color w:val="auto"/>
              </w:rPr>
            </w:pPr>
          </w:p>
        </w:tc>
        <w:tc>
          <w:tcPr>
            <w:tcW w:w="1100" w:type="dxa"/>
            <w:vAlign w:val="bottom"/>
            <w:shd w:val="clear" w:color="auto" w:fill="DDDDD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Activity for the nine months ended September 30, 2026 and 2025, in the allowance for credit losses and unamortized discount balances for the accounts receivable and EIP receivables segments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120" w:type="dxa"/>
            <w:vAlign w:val="bottom"/>
            <w:shd w:val="clear" w:color="auto" w:fill="E20074"/>
          </w:tcPr>
          <w:p>
            <w:pPr>
              <w:spacing w:after="0"/>
              <w:rPr>
                <w:sz w:val="19"/>
                <w:szCs w:val="19"/>
                <w:color w:val="auto"/>
              </w:rPr>
            </w:pPr>
          </w:p>
        </w:tc>
        <w:tc>
          <w:tcPr>
            <w:tcW w:w="880" w:type="dxa"/>
            <w:vAlign w:val="bottom"/>
            <w:shd w:val="clear" w:color="auto" w:fill="E20074"/>
          </w:tcPr>
          <w:p>
            <w:pPr>
              <w:spacing w:after="0"/>
              <w:rPr>
                <w:sz w:val="19"/>
                <w:szCs w:val="19"/>
                <w:color w:val="auto"/>
              </w:rPr>
            </w:pPr>
          </w:p>
        </w:tc>
        <w:tc>
          <w:tcPr>
            <w:tcW w:w="1240" w:type="dxa"/>
            <w:vAlign w:val="bottom"/>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200" w:type="dxa"/>
            <w:vAlign w:val="bottom"/>
            <w:shd w:val="clear" w:color="auto" w:fill="E20074"/>
          </w:tcPr>
          <w:p>
            <w:pPr>
              <w:spacing w:after="0"/>
              <w:rPr>
                <w:sz w:val="19"/>
                <w:szCs w:val="19"/>
                <w:color w:val="auto"/>
              </w:rPr>
            </w:pPr>
          </w:p>
        </w:tc>
        <w:tc>
          <w:tcPr>
            <w:tcW w:w="800" w:type="dxa"/>
            <w:vAlign w:val="bottom"/>
            <w:shd w:val="clear" w:color="auto" w:fill="E20074"/>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E20074"/>
          </w:tcPr>
          <w:p>
            <w:pPr>
              <w:spacing w:after="0"/>
              <w:rPr>
                <w:sz w:val="19"/>
                <w:szCs w:val="19"/>
                <w:color w:val="auto"/>
              </w:rPr>
            </w:pPr>
          </w:p>
        </w:tc>
        <w:tc>
          <w:tcPr>
            <w:tcW w:w="880" w:type="dxa"/>
            <w:vAlign w:val="bottom"/>
            <w:shd w:val="clear" w:color="auto" w:fill="E20074"/>
          </w:tcPr>
          <w:p>
            <w:pPr>
              <w:spacing w:after="0"/>
              <w:rPr>
                <w:sz w:val="19"/>
                <w:szCs w:val="19"/>
                <w:color w:val="auto"/>
              </w:rPr>
            </w:pPr>
          </w:p>
        </w:tc>
        <w:tc>
          <w:tcPr>
            <w:tcW w:w="1220" w:type="dxa"/>
            <w:vAlign w:val="bottom"/>
            <w:gridSpan w:val="4"/>
            <w:shd w:val="clear" w:color="auto" w:fill="E20074"/>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September 30, 2025</w:t>
            </w:r>
          </w:p>
        </w:tc>
        <w:tc>
          <w:tcPr>
            <w:tcW w:w="220" w:type="dxa"/>
            <w:vAlign w:val="bottom"/>
            <w:shd w:val="clear" w:color="auto" w:fill="E20074"/>
          </w:tcPr>
          <w:p>
            <w:pPr>
              <w:spacing w:after="0"/>
              <w:rPr>
                <w:sz w:val="19"/>
                <w:szCs w:val="19"/>
                <w:color w:val="auto"/>
              </w:rPr>
            </w:pPr>
          </w:p>
        </w:tc>
        <w:tc>
          <w:tcPr>
            <w:tcW w:w="780" w:type="dxa"/>
            <w:vAlign w:val="bottom"/>
            <w:shd w:val="clear" w:color="auto" w:fill="E20074"/>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20" w:type="dxa"/>
            <w:vAlign w:val="bottom"/>
            <w:shd w:val="clear" w:color="auto" w:fill="E20074"/>
          </w:tcPr>
          <w:p>
            <w:pPr>
              <w:spacing w:after="0"/>
              <w:rPr>
                <w:sz w:val="15"/>
                <w:szCs w:val="15"/>
                <w:color w:val="auto"/>
              </w:rPr>
            </w:pPr>
          </w:p>
        </w:tc>
        <w:tc>
          <w:tcPr>
            <w:tcW w:w="880" w:type="dxa"/>
            <w:vAlign w:val="bottom"/>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rPr>
              <w:t>Accounts</w:t>
            </w:r>
          </w:p>
        </w:tc>
        <w:tc>
          <w:tcPr>
            <w:tcW w:w="120" w:type="dxa"/>
            <w:vAlign w:val="bottom"/>
          </w:tcPr>
          <w:p>
            <w:pPr>
              <w:spacing w:after="0"/>
              <w:rPr>
                <w:sz w:val="15"/>
                <w:szCs w:val="15"/>
                <w:color w:val="auto"/>
              </w:rPr>
            </w:pPr>
          </w:p>
        </w:tc>
        <w:tc>
          <w:tcPr>
            <w:tcW w:w="120" w:type="dxa"/>
            <w:vAlign w:val="bottom"/>
            <w:shd w:val="clear" w:color="auto" w:fill="E20074"/>
          </w:tcPr>
          <w:p>
            <w:pPr>
              <w:spacing w:after="0"/>
              <w:rPr>
                <w:sz w:val="15"/>
                <w:szCs w:val="15"/>
                <w:color w:val="auto"/>
              </w:rPr>
            </w:pPr>
          </w:p>
        </w:tc>
        <w:tc>
          <w:tcPr>
            <w:tcW w:w="880" w:type="dxa"/>
            <w:vAlign w:val="bottom"/>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rPr>
              <w:t>EIP</w:t>
            </w:r>
          </w:p>
        </w:tc>
        <w:tc>
          <w:tcPr>
            <w:tcW w:w="120" w:type="dxa"/>
            <w:vAlign w:val="bottom"/>
          </w:tcPr>
          <w:p>
            <w:pPr>
              <w:spacing w:after="0"/>
              <w:rPr>
                <w:sz w:val="15"/>
                <w:szCs w:val="15"/>
                <w:color w:val="auto"/>
              </w:rPr>
            </w:pPr>
          </w:p>
        </w:tc>
        <w:tc>
          <w:tcPr>
            <w:tcW w:w="200" w:type="dxa"/>
            <w:vAlign w:val="bottom"/>
            <w:shd w:val="clear" w:color="auto" w:fill="E20074"/>
          </w:tcPr>
          <w:p>
            <w:pPr>
              <w:spacing w:after="0"/>
              <w:rPr>
                <w:sz w:val="15"/>
                <w:szCs w:val="15"/>
                <w:color w:val="auto"/>
              </w:rPr>
            </w:pPr>
          </w:p>
        </w:tc>
        <w:tc>
          <w:tcPr>
            <w:tcW w:w="800" w:type="dxa"/>
            <w:vAlign w:val="bottom"/>
            <w:shd w:val="clear" w:color="auto" w:fill="E20074"/>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E20074"/>
          </w:tcPr>
          <w:p>
            <w:pPr>
              <w:spacing w:after="0"/>
              <w:rPr>
                <w:sz w:val="15"/>
                <w:szCs w:val="15"/>
                <w:color w:val="auto"/>
              </w:rPr>
            </w:pPr>
          </w:p>
        </w:tc>
        <w:tc>
          <w:tcPr>
            <w:tcW w:w="880" w:type="dxa"/>
            <w:vAlign w:val="bottom"/>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rPr>
              <w:t>Accounts</w:t>
            </w:r>
          </w:p>
        </w:tc>
        <w:tc>
          <w:tcPr>
            <w:tcW w:w="100" w:type="dxa"/>
            <w:vAlign w:val="bottom"/>
          </w:tcPr>
          <w:p>
            <w:pPr>
              <w:spacing w:after="0"/>
              <w:rPr>
                <w:sz w:val="15"/>
                <w:szCs w:val="15"/>
                <w:color w:val="auto"/>
              </w:rPr>
            </w:pPr>
          </w:p>
        </w:tc>
        <w:tc>
          <w:tcPr>
            <w:tcW w:w="120" w:type="dxa"/>
            <w:vAlign w:val="bottom"/>
            <w:shd w:val="clear" w:color="auto" w:fill="E20074"/>
          </w:tcPr>
          <w:p>
            <w:pPr>
              <w:spacing w:after="0"/>
              <w:rPr>
                <w:sz w:val="15"/>
                <w:szCs w:val="15"/>
                <w:color w:val="auto"/>
              </w:rPr>
            </w:pPr>
          </w:p>
        </w:tc>
        <w:tc>
          <w:tcPr>
            <w:tcW w:w="900" w:type="dxa"/>
            <w:vAlign w:val="bottom"/>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rPr>
              <w:t>EIP</w:t>
            </w:r>
          </w:p>
        </w:tc>
        <w:tc>
          <w:tcPr>
            <w:tcW w:w="100" w:type="dxa"/>
            <w:vAlign w:val="bottom"/>
          </w:tcPr>
          <w:p>
            <w:pPr>
              <w:spacing w:after="0"/>
              <w:rPr>
                <w:sz w:val="15"/>
                <w:szCs w:val="15"/>
                <w:color w:val="auto"/>
              </w:rPr>
            </w:pPr>
          </w:p>
        </w:tc>
        <w:tc>
          <w:tcPr>
            <w:tcW w:w="220" w:type="dxa"/>
            <w:vAlign w:val="bottom"/>
            <w:shd w:val="clear" w:color="auto" w:fill="E20074"/>
          </w:tcPr>
          <w:p>
            <w:pPr>
              <w:spacing w:after="0"/>
              <w:rPr>
                <w:sz w:val="15"/>
                <w:szCs w:val="15"/>
                <w:color w:val="auto"/>
              </w:rPr>
            </w:pPr>
          </w:p>
        </w:tc>
        <w:tc>
          <w:tcPr>
            <w:tcW w:w="780" w:type="dxa"/>
            <w:vAlign w:val="bottom"/>
            <w:shd w:val="clear" w:color="auto" w:fill="E20074"/>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shd w:val="clear" w:color="auto" w:fill="E20074"/>
          </w:tcPr>
          <w:p>
            <w:pPr>
              <w:spacing w:after="0"/>
              <w:rPr>
                <w:sz w:val="11"/>
                <w:szCs w:val="11"/>
                <w:color w:val="auto"/>
              </w:rPr>
            </w:pPr>
          </w:p>
        </w:tc>
        <w:tc>
          <w:tcPr>
            <w:tcW w:w="880" w:type="dxa"/>
            <w:vAlign w:val="bottom"/>
            <w:shd w:val="clear" w:color="auto" w:fill="E20074"/>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FFFFFF"/>
              </w:rPr>
              <w:t>Receivable</w:t>
            </w:r>
          </w:p>
        </w:tc>
        <w:tc>
          <w:tcPr>
            <w:tcW w:w="120" w:type="dxa"/>
            <w:vAlign w:val="bottom"/>
          </w:tcPr>
          <w:p>
            <w:pPr>
              <w:spacing w:after="0"/>
              <w:rPr>
                <w:sz w:val="11"/>
                <w:szCs w:val="11"/>
                <w:color w:val="auto"/>
              </w:rPr>
            </w:pPr>
          </w:p>
        </w:tc>
        <w:tc>
          <w:tcPr>
            <w:tcW w:w="120" w:type="dxa"/>
            <w:vAlign w:val="bottom"/>
            <w:shd w:val="clear" w:color="auto" w:fill="E20074"/>
          </w:tcPr>
          <w:p>
            <w:pPr>
              <w:spacing w:after="0"/>
              <w:rPr>
                <w:sz w:val="11"/>
                <w:szCs w:val="11"/>
                <w:color w:val="auto"/>
              </w:rPr>
            </w:pPr>
          </w:p>
        </w:tc>
        <w:tc>
          <w:tcPr>
            <w:tcW w:w="880" w:type="dxa"/>
            <w:vAlign w:val="bottom"/>
            <w:shd w:val="clear" w:color="auto" w:fill="E20074"/>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FFFFFF"/>
              </w:rPr>
              <w:t>Receivables</w:t>
            </w:r>
          </w:p>
        </w:tc>
        <w:tc>
          <w:tcPr>
            <w:tcW w:w="120" w:type="dxa"/>
            <w:vAlign w:val="bottom"/>
          </w:tcPr>
          <w:p>
            <w:pPr>
              <w:spacing w:after="0"/>
              <w:rPr>
                <w:sz w:val="11"/>
                <w:szCs w:val="11"/>
                <w:color w:val="auto"/>
              </w:rPr>
            </w:pPr>
          </w:p>
        </w:tc>
        <w:tc>
          <w:tcPr>
            <w:tcW w:w="200" w:type="dxa"/>
            <w:vAlign w:val="bottom"/>
            <w:shd w:val="clear" w:color="auto" w:fill="E20074"/>
          </w:tcPr>
          <w:p>
            <w:pPr>
              <w:spacing w:after="0"/>
              <w:rPr>
                <w:sz w:val="11"/>
                <w:szCs w:val="11"/>
                <w:color w:val="auto"/>
              </w:rPr>
            </w:pPr>
          </w:p>
        </w:tc>
        <w:tc>
          <w:tcPr>
            <w:tcW w:w="800" w:type="dxa"/>
            <w:vAlign w:val="bottom"/>
            <w:vMerge w:val="restart"/>
            <w:shd w:val="clear" w:color="auto" w:fill="E20074"/>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00" w:type="dxa"/>
            <w:vAlign w:val="bottom"/>
          </w:tcPr>
          <w:p>
            <w:pPr>
              <w:spacing w:after="0"/>
              <w:rPr>
                <w:sz w:val="11"/>
                <w:szCs w:val="11"/>
                <w:color w:val="auto"/>
              </w:rPr>
            </w:pPr>
          </w:p>
        </w:tc>
        <w:tc>
          <w:tcPr>
            <w:tcW w:w="140" w:type="dxa"/>
            <w:vAlign w:val="bottom"/>
            <w:shd w:val="clear" w:color="auto" w:fill="E20074"/>
          </w:tcPr>
          <w:p>
            <w:pPr>
              <w:spacing w:after="0"/>
              <w:rPr>
                <w:sz w:val="11"/>
                <w:szCs w:val="11"/>
                <w:color w:val="auto"/>
              </w:rPr>
            </w:pPr>
          </w:p>
        </w:tc>
        <w:tc>
          <w:tcPr>
            <w:tcW w:w="880" w:type="dxa"/>
            <w:vAlign w:val="bottom"/>
            <w:shd w:val="clear" w:color="auto" w:fill="E20074"/>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FFFFFF"/>
              </w:rPr>
              <w:t>Receivable</w:t>
            </w:r>
          </w:p>
        </w:tc>
        <w:tc>
          <w:tcPr>
            <w:tcW w:w="100" w:type="dxa"/>
            <w:vAlign w:val="bottom"/>
          </w:tcPr>
          <w:p>
            <w:pPr>
              <w:spacing w:after="0"/>
              <w:rPr>
                <w:sz w:val="11"/>
                <w:szCs w:val="11"/>
                <w:color w:val="auto"/>
              </w:rPr>
            </w:pPr>
          </w:p>
        </w:tc>
        <w:tc>
          <w:tcPr>
            <w:tcW w:w="120" w:type="dxa"/>
            <w:vAlign w:val="bottom"/>
            <w:shd w:val="clear" w:color="auto" w:fill="E20074"/>
          </w:tcPr>
          <w:p>
            <w:pPr>
              <w:spacing w:after="0"/>
              <w:rPr>
                <w:sz w:val="11"/>
                <w:szCs w:val="11"/>
                <w:color w:val="auto"/>
              </w:rPr>
            </w:pPr>
          </w:p>
        </w:tc>
        <w:tc>
          <w:tcPr>
            <w:tcW w:w="900" w:type="dxa"/>
            <w:vAlign w:val="bottom"/>
            <w:shd w:val="clear" w:color="auto" w:fill="E20074"/>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FFFFFF"/>
              </w:rPr>
              <w:t>Receivables</w:t>
            </w:r>
          </w:p>
        </w:tc>
        <w:tc>
          <w:tcPr>
            <w:tcW w:w="100" w:type="dxa"/>
            <w:vAlign w:val="bottom"/>
          </w:tcPr>
          <w:p>
            <w:pPr>
              <w:spacing w:after="0"/>
              <w:rPr>
                <w:sz w:val="11"/>
                <w:szCs w:val="11"/>
                <w:color w:val="auto"/>
              </w:rPr>
            </w:pPr>
          </w:p>
        </w:tc>
        <w:tc>
          <w:tcPr>
            <w:tcW w:w="220" w:type="dxa"/>
            <w:vAlign w:val="bottom"/>
            <w:shd w:val="clear" w:color="auto" w:fill="E20074"/>
          </w:tcPr>
          <w:p>
            <w:pPr>
              <w:spacing w:after="0"/>
              <w:rPr>
                <w:sz w:val="11"/>
                <w:szCs w:val="11"/>
                <w:color w:val="auto"/>
              </w:rPr>
            </w:pPr>
          </w:p>
        </w:tc>
        <w:tc>
          <w:tcPr>
            <w:tcW w:w="780" w:type="dxa"/>
            <w:vAlign w:val="bottom"/>
            <w:vMerge w:val="restart"/>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94"/>
        </w:trPr>
        <w:tc>
          <w:tcPr>
            <w:tcW w:w="4660" w:type="dxa"/>
            <w:vAlign w:val="bottom"/>
            <w:vMerge w:val="continue"/>
          </w:tcPr>
          <w:p>
            <w:pPr>
              <w:spacing w:after="0"/>
              <w:rPr>
                <w:sz w:val="16"/>
                <w:szCs w:val="16"/>
                <w:color w:val="auto"/>
              </w:rPr>
            </w:pPr>
          </w:p>
        </w:tc>
        <w:tc>
          <w:tcPr>
            <w:tcW w:w="120" w:type="dxa"/>
            <w:vAlign w:val="bottom"/>
            <w:tcBorders>
              <w:bottom w:val="single" w:sz="8" w:color="E20074"/>
            </w:tcBorders>
            <w:shd w:val="clear" w:color="auto" w:fill="E20074"/>
          </w:tcPr>
          <w:p>
            <w:pPr>
              <w:spacing w:after="0"/>
              <w:rPr>
                <w:sz w:val="16"/>
                <w:szCs w:val="16"/>
                <w:color w:val="auto"/>
              </w:rPr>
            </w:pPr>
          </w:p>
        </w:tc>
        <w:tc>
          <w:tcPr>
            <w:tcW w:w="880" w:type="dxa"/>
            <w:vAlign w:val="bottom"/>
            <w:tcBorders>
              <w:bottom w:val="single" w:sz="8" w:color="E20074"/>
            </w:tcBorders>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rPr>
              <w:t>Allowance</w:t>
            </w:r>
          </w:p>
        </w:tc>
        <w:tc>
          <w:tcPr>
            <w:tcW w:w="120" w:type="dxa"/>
            <w:vAlign w:val="bottom"/>
          </w:tcPr>
          <w:p>
            <w:pPr>
              <w:spacing w:after="0"/>
              <w:rPr>
                <w:sz w:val="16"/>
                <w:szCs w:val="16"/>
                <w:color w:val="auto"/>
              </w:rPr>
            </w:pPr>
          </w:p>
        </w:tc>
        <w:tc>
          <w:tcPr>
            <w:tcW w:w="120" w:type="dxa"/>
            <w:vAlign w:val="bottom"/>
            <w:tcBorders>
              <w:bottom w:val="single" w:sz="8" w:color="E20074"/>
            </w:tcBorders>
            <w:shd w:val="clear" w:color="auto" w:fill="E20074"/>
          </w:tcPr>
          <w:p>
            <w:pPr>
              <w:spacing w:after="0"/>
              <w:rPr>
                <w:sz w:val="16"/>
                <w:szCs w:val="16"/>
                <w:color w:val="auto"/>
              </w:rPr>
            </w:pPr>
          </w:p>
        </w:tc>
        <w:tc>
          <w:tcPr>
            <w:tcW w:w="880" w:type="dxa"/>
            <w:vAlign w:val="bottom"/>
            <w:tcBorders>
              <w:bottom w:val="single" w:sz="8" w:color="E20074"/>
            </w:tcBorders>
            <w:shd w:val="clear" w:color="auto" w:fill="E20074"/>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rPr>
              <w:t>Allowance</w:t>
            </w:r>
          </w:p>
        </w:tc>
        <w:tc>
          <w:tcPr>
            <w:tcW w:w="120" w:type="dxa"/>
            <w:vAlign w:val="bottom"/>
          </w:tcPr>
          <w:p>
            <w:pPr>
              <w:spacing w:after="0"/>
              <w:rPr>
                <w:sz w:val="16"/>
                <w:szCs w:val="16"/>
                <w:color w:val="auto"/>
              </w:rPr>
            </w:pPr>
          </w:p>
        </w:tc>
        <w:tc>
          <w:tcPr>
            <w:tcW w:w="200" w:type="dxa"/>
            <w:vAlign w:val="bottom"/>
            <w:tcBorders>
              <w:bottom w:val="single" w:sz="8" w:color="E20074"/>
            </w:tcBorders>
            <w:shd w:val="clear" w:color="auto" w:fill="E20074"/>
          </w:tcPr>
          <w:p>
            <w:pPr>
              <w:spacing w:after="0"/>
              <w:rPr>
                <w:sz w:val="16"/>
                <w:szCs w:val="16"/>
                <w:color w:val="auto"/>
              </w:rPr>
            </w:pPr>
          </w:p>
        </w:tc>
        <w:tc>
          <w:tcPr>
            <w:tcW w:w="800" w:type="dxa"/>
            <w:vAlign w:val="bottom"/>
            <w:tcBorders>
              <w:bottom w:val="single" w:sz="8" w:color="E20074"/>
            </w:tcBorders>
            <w:vMerge w:val="continue"/>
            <w:shd w:val="clear" w:color="auto" w:fill="E20074"/>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E20074"/>
            </w:tcBorders>
            <w:shd w:val="clear" w:color="auto" w:fill="E20074"/>
          </w:tcPr>
          <w:p>
            <w:pPr>
              <w:spacing w:after="0"/>
              <w:rPr>
                <w:sz w:val="16"/>
                <w:szCs w:val="16"/>
                <w:color w:val="auto"/>
              </w:rPr>
            </w:pPr>
          </w:p>
        </w:tc>
        <w:tc>
          <w:tcPr>
            <w:tcW w:w="880" w:type="dxa"/>
            <w:vAlign w:val="bottom"/>
            <w:tcBorders>
              <w:bottom w:val="single" w:sz="8" w:color="E20074"/>
            </w:tcBorders>
            <w:shd w:val="clear" w:color="auto" w:fill="E20074"/>
          </w:tcPr>
          <w:p>
            <w:pPr>
              <w:jc w:val="center"/>
              <w:ind w:right="88"/>
              <w:spacing w:after="0"/>
              <w:rPr>
                <w:sz w:val="20"/>
                <w:szCs w:val="20"/>
                <w:color w:val="auto"/>
              </w:rPr>
            </w:pPr>
            <w:r>
              <w:rPr>
                <w:rFonts w:ascii="Times New Roman" w:cs="Times New Roman" w:eastAsia="Times New Roman" w:hAnsi="Times New Roman"/>
                <w:sz w:val="14"/>
                <w:szCs w:val="14"/>
                <w:b w:val="1"/>
                <w:bCs w:val="1"/>
                <w:color w:val="FFFFFF"/>
              </w:rPr>
              <w:t>Allowance</w:t>
            </w:r>
          </w:p>
        </w:tc>
        <w:tc>
          <w:tcPr>
            <w:tcW w:w="100" w:type="dxa"/>
            <w:vAlign w:val="bottom"/>
          </w:tcPr>
          <w:p>
            <w:pPr>
              <w:spacing w:after="0"/>
              <w:rPr>
                <w:sz w:val="16"/>
                <w:szCs w:val="16"/>
                <w:color w:val="auto"/>
              </w:rPr>
            </w:pPr>
          </w:p>
        </w:tc>
        <w:tc>
          <w:tcPr>
            <w:tcW w:w="120" w:type="dxa"/>
            <w:vAlign w:val="bottom"/>
            <w:tcBorders>
              <w:bottom w:val="single" w:sz="8" w:color="E20074"/>
            </w:tcBorders>
            <w:shd w:val="clear" w:color="auto" w:fill="E20074"/>
          </w:tcPr>
          <w:p>
            <w:pPr>
              <w:spacing w:after="0"/>
              <w:rPr>
                <w:sz w:val="16"/>
                <w:szCs w:val="16"/>
                <w:color w:val="auto"/>
              </w:rPr>
            </w:pPr>
          </w:p>
        </w:tc>
        <w:tc>
          <w:tcPr>
            <w:tcW w:w="900" w:type="dxa"/>
            <w:vAlign w:val="bottom"/>
            <w:tcBorders>
              <w:bottom w:val="single" w:sz="8" w:color="E20074"/>
            </w:tcBorders>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rPr>
              <w:t>Allowance</w:t>
            </w:r>
          </w:p>
        </w:tc>
        <w:tc>
          <w:tcPr>
            <w:tcW w:w="100" w:type="dxa"/>
            <w:vAlign w:val="bottom"/>
          </w:tcPr>
          <w:p>
            <w:pPr>
              <w:spacing w:after="0"/>
              <w:rPr>
                <w:sz w:val="16"/>
                <w:szCs w:val="16"/>
                <w:color w:val="auto"/>
              </w:rPr>
            </w:pPr>
          </w:p>
        </w:tc>
        <w:tc>
          <w:tcPr>
            <w:tcW w:w="220" w:type="dxa"/>
            <w:vAlign w:val="bottom"/>
            <w:tcBorders>
              <w:bottom w:val="single" w:sz="8" w:color="E20074"/>
            </w:tcBorders>
            <w:shd w:val="clear" w:color="auto" w:fill="E20074"/>
          </w:tcPr>
          <w:p>
            <w:pPr>
              <w:spacing w:after="0"/>
              <w:rPr>
                <w:sz w:val="16"/>
                <w:szCs w:val="16"/>
                <w:color w:val="auto"/>
              </w:rPr>
            </w:pPr>
          </w:p>
        </w:tc>
        <w:tc>
          <w:tcPr>
            <w:tcW w:w="780" w:type="dxa"/>
            <w:vAlign w:val="bottom"/>
            <w:tcBorders>
              <w:bottom w:val="single" w:sz="8" w:color="E20074"/>
            </w:tcBorders>
            <w:vMerge w:val="continue"/>
            <w:shd w:val="clear" w:color="auto" w:fill="E2007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Allowance for credit losses and unamortized discount, beginning of period</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2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1,172</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Bad debt expense</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Write-offs</w:t>
            </w:r>
          </w:p>
        </w:tc>
        <w:tc>
          <w:tcPr>
            <w:tcW w:w="1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 for acquired credit deteriorated receivables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Change in unamortized discount on short-term and long-term EIP receivables</w:t>
            </w:r>
          </w:p>
        </w:tc>
        <w:tc>
          <w:tcPr>
            <w:tcW w:w="1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on the unamortized discount from sales of EIP receivables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3"/>
        </w:trPr>
        <w:tc>
          <w:tcPr>
            <w:tcW w:w="466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6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Allowance for credit losses and unamortized discount, end of period</w:t>
            </w: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-162560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-162560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-162560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294894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489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Off-Balance-Sheet Credit Exposures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We do not have material off-balance-sheet credit exposures as of September 30, 2026. In connection with the sales of certain service accounts receivable and EIP receivables pursuant to the sale arrangements, we provide guarantees of credit performance included on our Condensed Consolidated Balance Sheets measured at fair value that are based on a discounted cash flow model using Level 3 inputs, including estimated customer default rates and creditworthiness, dilutions and recoveries. See </w:t>
      </w:r>
      <w:r>
        <w:rPr>
          <w:rFonts w:ascii="Times New Roman" w:cs="Times New Roman" w:eastAsia="Times New Roman" w:hAnsi="Times New Roman"/>
          <w:sz w:val="18"/>
          <w:szCs w:val="18"/>
          <w:u w:val="single" w:color="auto"/>
          <w:color w:val="0000FF"/>
        </w:rPr>
        <w:t>Note 5 – Sales of Certain Receivables</w:t>
      </w:r>
      <w:r>
        <w:rPr>
          <w:rFonts w:ascii="Times New Roman" w:cs="Times New Roman" w:eastAsia="Times New Roman" w:hAnsi="Times New Roman"/>
          <w:sz w:val="18"/>
          <w:szCs w:val="18"/>
          <w:color w:val="auto"/>
        </w:rPr>
        <w:t xml:space="preserve"> for further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Sales of Certain Receivables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regularly enter into transactions to sell certain service accounts receivable and EIP receivables. The transactions, including our continuing involvement with the sold receivables and the respective impacts to our condensed consolidated financial statements, are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EIP Receivables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Transaction</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2015, we entered into an arrangement to sell certain EIP receivables on a revolving basis (the “EIP Sale Arrangement”), which will expire in November 2026. As of both September 30, 2026, and December 31, 2025, the EIP Sale Arrangement provided funding of $1.3 billion.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this EIP Sale Arrangement, we formed a wholly owned subsidiary, which qualifies as a bankruptcy remote entity (the “EIP BRE”). We consolidate the EIP BRE under the VIE model.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carrying amounts and classification of liabilities, which consist of the recourse guarantee, included on our Condensed Consolidated Balance Sheets with respect to the EIP 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8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shd w:val="clear" w:color="auto" w:fill="E20074"/>
          </w:tcPr>
          <w:p>
            <w:pPr>
              <w:jc w:val="center"/>
              <w:ind w:left="16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24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0"/>
        </w:trPr>
        <w:tc>
          <w:tcPr>
            <w:tcW w:w="8260" w:type="dxa"/>
            <w:vAlign w:val="bottom"/>
            <w:vMerge w:val="continue"/>
          </w:tcPr>
          <w:p>
            <w:pPr>
              <w:spacing w:after="0"/>
              <w:rPr>
                <w:sz w:val="17"/>
                <w:szCs w:val="17"/>
                <w:color w:val="auto"/>
              </w:rPr>
            </w:pPr>
          </w:p>
        </w:tc>
        <w:tc>
          <w:tcPr>
            <w:tcW w:w="1200" w:type="dxa"/>
            <w:vAlign w:val="bottom"/>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24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0" w:type="dxa"/>
            <w:vAlign w:val="bottom"/>
            <w:tcBorders>
              <w:bottom w:val="single" w:sz="8" w:color="DDDDDD"/>
            </w:tcBorders>
            <w:shd w:val="clear" w:color="auto" w:fill="DDDDDD"/>
          </w:tcPr>
          <w:p>
            <w:pPr>
              <w:jc w:val="right"/>
              <w:ind w:right="10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0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2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Service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Transaction</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2014, we entered into an arrangement to sell certain service accounts receivable on a revolving basis (the “Service Receivable Sale Arrangement”). On February 24, 2026, we extended the scheduled expiration date of the Service Receivable Sale Arrangement to February 23, 2027. As of both September 30, 2026, and December 31, 2025, the Service Receivable Sale Arrangement provided funding of $775 million.</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Service Receivable Sale Arrangement, we formed a wholly owned subsidiary, which qualifies as a bankruptcy remote entity, to sell service accounts receivable (the “Service BRE”). We consolidate the Service BRE under the VIE model.</w:t>
      </w:r>
    </w:p>
    <w:p>
      <w:pPr>
        <w:spacing w:after="0" w:line="18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carrying amounts and classification of liabilities included on our Condensed Consolidated Balance Sheets with respect to the Service 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center"/>
              <w:ind w:right="12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center"/>
              <w:ind w:right="1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6"/>
        </w:trPr>
        <w:tc>
          <w:tcPr>
            <w:tcW w:w="82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30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3"/>
        </w:trPr>
        <w:tc>
          <w:tcPr>
            <w:tcW w:w="826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Receivables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credit enhancement feature of each of the EIP Sale Arrangement and the Service Receivable Sale Arrangement is in the form of a recourse guarantee liability, which is collateralized by pledged but unsold receivables. The recourse guarantee represents a financial instrument that is primarily tied to the creditworthiness of our customers. At inception, we elected to measure the recourse guarantee liabilities at fair value with changes in fair value included in Selling, general and administrative expenses on our Condensed Consolidated Statements of Comprehensive Income. The fair value of the recourse guarantee liabilities is determined based on a discounted cash flow model, which primarily uses Level 3 inputs, including estimated customer default rates and creditworthiness, dilutions and recoveries. Our recourse guarantee liabilities related to the sales of service receivables and EIP receivables were $137 million and $130 million as of September 30, 2026, and December 31, 2025, respectively. These liabilities were collateralized by $301 million and $266 million of gross service receivables and $534 million and $535 million of gross EIP receivables pledged, but unsold as of September 30, 2026, and December 31, 2025, respectively, which represent our maximum exposure under the recourse guarantee.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the sales of certain service receivables and EIP receivables on our Condensed Consolidated Balance Sheets: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3"/>
                <w:szCs w:val="13"/>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3"/>
                <w:szCs w:val="13"/>
                <w:color w:val="auto"/>
              </w:rPr>
            </w:pPr>
          </w:p>
        </w:tc>
        <w:tc>
          <w:tcPr>
            <w:tcW w:w="200" w:type="dxa"/>
            <w:vAlign w:val="bottom"/>
            <w:shd w:val="clear" w:color="auto" w:fill="E20074"/>
          </w:tcPr>
          <w:p>
            <w:pPr>
              <w:spacing w:after="0"/>
              <w:rPr>
                <w:sz w:val="13"/>
                <w:szCs w:val="13"/>
                <w:color w:val="auto"/>
              </w:rPr>
            </w:pPr>
          </w:p>
        </w:tc>
        <w:tc>
          <w:tcPr>
            <w:tcW w:w="124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0"/>
        </w:trPr>
        <w:tc>
          <w:tcPr>
            <w:tcW w:w="8260" w:type="dxa"/>
            <w:vAlign w:val="bottom"/>
            <w:vMerge w:val="continue"/>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Derecognized net service accounts receivable and EIP receivables</w:t>
            </w:r>
          </w:p>
        </w:tc>
        <w:tc>
          <w:tcPr>
            <w:tcW w:w="200" w:type="dxa"/>
            <w:vAlign w:val="bottom"/>
            <w:tcBorders>
              <w:bottom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30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i w:val="1"/>
                <w:iCs w:val="1"/>
                <w:color w:val="auto"/>
              </w:rPr>
              <w:t>of which, recourse guarantee</w:t>
            </w:r>
          </w:p>
        </w:tc>
        <w:tc>
          <w:tcPr>
            <w:tcW w:w="20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i w:val="1"/>
                <w:iCs w:val="1"/>
                <w:color w:val="auto"/>
              </w:rPr>
              <w:t>125</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i w:val="1"/>
                <w:iCs w:val="1"/>
                <w:color w:val="auto"/>
              </w:rPr>
              <w:t>117</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i w:val="1"/>
                <w:iCs w:val="1"/>
                <w:color w:val="auto"/>
              </w:rPr>
              <w:t>of which, recourse guarantee</w:t>
            </w:r>
          </w:p>
        </w:tc>
        <w:tc>
          <w:tcPr>
            <w:tcW w:w="20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proceeds since inception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Of which:</w:t>
            </w:r>
          </w:p>
        </w:tc>
        <w:tc>
          <w:tcPr>
            <w:tcW w:w="20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24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net cash proceeds during the year-to-date period</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Net cash proceeds funded by reinvested collections</w:t>
            </w: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0" w:type="dxa"/>
            <w:vAlign w:val="bottom"/>
          </w:tcPr>
          <w:p>
            <w:pPr>
              <w:spacing w:after="0"/>
              <w:rPr>
                <w:sz w:val="1"/>
                <w:szCs w:val="1"/>
                <w:color w:val="auto"/>
              </w:rPr>
            </w:pPr>
          </w:p>
        </w:tc>
      </w:tr>
      <w:tr>
        <w:trPr>
          <w:trHeight w:val="23"/>
        </w:trPr>
        <w:tc>
          <w:tcPr>
            <w:tcW w:w="8260" w:type="dxa"/>
            <w:vAlign w:val="bottom"/>
            <w:shd w:val="clear" w:color="auto" w:fill="DDDDDD"/>
          </w:tcPr>
          <w:p>
            <w:pPr>
              <w:spacing w:after="0"/>
              <w:rPr>
                <w:sz w:val="2"/>
                <w:szCs w:val="2"/>
                <w:color w:val="auto"/>
              </w:rPr>
            </w:pPr>
          </w:p>
        </w:tc>
        <w:tc>
          <w:tcPr>
            <w:tcW w:w="200" w:type="dxa"/>
            <w:vAlign w:val="bottom"/>
            <w:shd w:val="clear" w:color="auto" w:fill="DDDDDD"/>
          </w:tcPr>
          <w:p>
            <w:pPr>
              <w:spacing w:after="0"/>
              <w:rPr>
                <w:sz w:val="2"/>
                <w:szCs w:val="2"/>
                <w:color w:val="auto"/>
              </w:rPr>
            </w:pPr>
          </w:p>
        </w:tc>
        <w:tc>
          <w:tcPr>
            <w:tcW w:w="124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200" w:type="dxa"/>
            <w:vAlign w:val="bottom"/>
            <w:shd w:val="clear" w:color="auto" w:fill="DDDDDD"/>
          </w:tcPr>
          <w:p>
            <w:pPr>
              <w:spacing w:after="0"/>
              <w:rPr>
                <w:sz w:val="2"/>
                <w:szCs w:val="2"/>
                <w:color w:val="auto"/>
              </w:rPr>
            </w:pPr>
          </w:p>
        </w:tc>
        <w:tc>
          <w:tcPr>
            <w:tcW w:w="1240" w:type="dxa"/>
            <w:vAlign w:val="bottom"/>
            <w:shd w:val="clear" w:color="auto" w:fill="DDDDD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recognized losses from sales of receivables, including changes in fair value of the recourse guarantee liabilities of $15 million and $17 million for the three months ended September 30, 2026 and 2025, respectively, and $52 million and $58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million for the nine months ended September 30, 2026 and 2025, respectively, in Selling, general and administrative expenses on our Condensed Consolidated Statements of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Involvement</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Pursuant to the EIP Sale Arrangement and Service Receivable Sale Arrangement described above, we have continuing involvement with the EIP receivables and service accounts receivable we sell, as we service the receivables, are required to replace certain receivables, including ineligible receivables, aged receivables and receivables where a write-off is imminent, and may be responsible for absorbing credit losses through performance under our recourse guarantee liabilities. We continue to service the customers and their related receivables, including facilitating customer payment collection, in exchange for a monthly servicing fee. As the receivables are sold on a revolving basis, the customer payment collections on sold receivables may be reinvested in new receivable sales. At the direction of the purchasers of the sold receivables, we apply the same policies and procedures while servicing the sold receivables as we apply to our owned receivables, and we continue to maintain normal relationships with our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Spectrum License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Spectrum Licenses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spectrum license activity for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shd w:val="clear" w:color="auto" w:fill="E20074"/>
          </w:tcPr>
          <w:p>
            <w:pPr>
              <w:spacing w:after="0"/>
              <w:rPr>
                <w:sz w:val="19"/>
                <w:szCs w:val="19"/>
                <w:color w:val="auto"/>
              </w:rPr>
            </w:pPr>
          </w:p>
        </w:tc>
        <w:tc>
          <w:tcPr>
            <w:tcW w:w="1320" w:type="dxa"/>
            <w:vAlign w:val="bottom"/>
            <w:shd w:val="clear" w:color="auto" w:fill="E20074"/>
          </w:tcPr>
          <w:p>
            <w:pPr>
              <w:jc w:val="right"/>
              <w:ind w:right="448"/>
              <w:spacing w:after="0"/>
              <w:rPr>
                <w:sz w:val="20"/>
                <w:szCs w:val="20"/>
                <w:color w:val="auto"/>
              </w:rPr>
            </w:pPr>
            <w:r>
              <w:rPr>
                <w:rFonts w:ascii="Times New Roman" w:cs="Times New Roman" w:eastAsia="Times New Roman" w:hAnsi="Times New Roman"/>
                <w:sz w:val="14"/>
                <w:szCs w:val="14"/>
                <w:b w:val="1"/>
                <w:bCs w:val="1"/>
                <w:color w:val="FFFFFF"/>
              </w:rPr>
              <w:t>Spectrum</w:t>
            </w:r>
          </w:p>
        </w:tc>
      </w:tr>
      <w:tr>
        <w:trPr>
          <w:trHeight w:val="209"/>
        </w:trPr>
        <w:tc>
          <w:tcPr>
            <w:tcW w:w="9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Spectrum licenses, beginning of year</w:t>
            </w:r>
          </w:p>
        </w:tc>
        <w:tc>
          <w:tcPr>
            <w:tcW w:w="320" w:type="dxa"/>
            <w:vAlign w:val="bottom"/>
            <w:tcBorders>
              <w:bottom w:val="single" w:sz="8" w:color="DBDBDB"/>
            </w:tcBorders>
            <w:shd w:val="clear" w:color="auto" w:fill="DBDBDB"/>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98,032</w:t>
            </w:r>
          </w:p>
        </w:tc>
      </w:tr>
      <w:tr>
        <w:trPr>
          <w:trHeight w:val="193"/>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license acquisitions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r>
      <w:tr>
        <w:trPr>
          <w:trHeight w:val="23"/>
        </w:trPr>
        <w:tc>
          <w:tcPr>
            <w:tcW w:w="9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9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Spectrum licenses transferred to held for sale</w:t>
            </w:r>
          </w:p>
        </w:tc>
        <w:tc>
          <w:tcPr>
            <w:tcW w:w="32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216"/>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Spectrum licenses, end of period</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Cash payments to acquire spectrum licenses and payments for costs to clear spectrum are included in Purchases of spectrum licenses and other intangible assets, including deposits. Cash proceeds from the sale of spectrum licenses are included in Proceeds from the sale of property, equipment and intangible assets on our Condensed Consolidated Statements of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Spectrum Auction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June 2026, the Federal Communications Commission (“FCC”) announced that we were the winning bidder of 102 licenses in Auction 113 (AWS-3 band spectrum) for an aggregate purchase price of $278 million. At the inception of Auction 113 in April 2026, we deposited $25 million. We paid the FCC the remaining $253 million for the licenses won in the auction in July 2026. On August 23, 2026, the FCC issued to us the licenses won in Auction 113. The licenses are included in Spectrum licenses on our Condensed Consolidated Balance Sheets as of September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Purchase Agreements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21, 2026, we acquired 600 MHz spectrum licenses from TStar 600, LLC and two of its subsidiaries, in exchange for cash consideration of $290 million, which is expected to be paid in the first quarter of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Comcast Corporation</w:t>
      </w:r>
    </w:p>
    <w:p>
      <w:pPr>
        <w:spacing w:after="0" w:line="2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September 12, 2023, we entered into a license purchase agreement (the “Comcast License Purchase Agreement”) with Comcast Corporation and its affiliate, Comcast OTR1, LLC (together with Comcast Corporation, “Comcast”), pursuant to which we will acquire spectrum in the 600 MHz band from Comcast (the “Comcast Licenses”) in exchange for total cash consideration of between $1.2 billion and $3.3 billion, subject to an application for FCC approval. The licenses will be acquired without any associated networks.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final purchase price will be determined, in the aggregate and on a per license basis, based on the set of Comcast Licenses at the time the parties make required transfer filings with the FCC. Prior to the time of such filings, Comcast has the right to remove any or all of a certain specified subset of the Comcast Licenses, totaling $2.1 billion (the “Optional Sale Licenses”), from the Comcast License Purchase Agreement. The removal of any Optional Sale Licenses would reduce the final purchase price by the assigned value of each such license, from the maximum purchase price of $3.3 billion.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Comcast Licenses are subject to an exclusive leasing arrangement between us and Comcast, which was entered into contemporaneously with the Comcast License Purchase Agreement. If Comcast elects to remove an Optional Sale License from the Comcast License Purchase Agreement, the associated lease for such Optional Sale License will terminate, but no sooner than two years from the date of the Comcast License Purchase Agreement (with us having a minimum period of time after any such termination to cease transmitting on such license’s associated spectrum).</w:t>
      </w:r>
    </w:p>
    <w:p>
      <w:pPr>
        <w:spacing w:after="0" w:line="20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On January 13, 2025, we and Comcast entered into an amendment to the Comcast License Purchase Agreement pursuant to which we will acquire additional spectrum. Subsequent to the amendment, the total cash consideration for the transaction is between $1.2 billion and $3.4 billion.</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result of additional spectrum acquisitions we are planning with third parties, we have agreed with Comcast to accelerate the consummation of our acquisition of a portion of the Comcast Licenses. The accelerated portion of the Comcast Licenses acquisition closed on June 2, 2026, and the associated payment of $46 million was made on the same day. We are targeting a closing in the first half of 2028 for the acquisition of the remaining Comcast Licenses.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Grain Management, LLC</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30, 2025, we entered into a License and Unit Purchase Agreement with NEWLEVEL IV, L.P. and NEWLEVEL, LLC, both of which are affiliates of Grain Management, LLC (“Grain”), pursuant to which we agreed to sell our 800 MHz spectrum licenses in exchange for cash consideration and the receipt of Grain’s 600 MHz spectrum licenses, which we previously utilized under lease agreements with Grain. Following the receipt of certain regulatory approvals, including certain modifications to the 800 MHz spectrum licenses, on August 10, 2026, we completed the sale of our 800 MHz spectrum licenses in exchange for cash consideration of $2.9 billion and the receipt of Grain’s 600 MHz spectrum licenses valued at $690 million, for total consideration of $3.6 billion. We expect to pay approximately $850 million of cash income taxes primarily through December 31, 2027, related to the close of this transaction. In addition, we are entitled to receive a 50% share of future proceeds from transactions entered into by Grain that monetize the 800 MHz spectrum licenses, in excess of their invested capital, certain expenses and a specified return on their investment. On October 8, 2026, Grain entered into a purchase and sale agreement with Space Exploration Technologies Corp. for the sale of the 800 MHz spectrum licenses, subject to customary closing conditions and regulatory approvals. We have not recognized an associated gain for this potential additional consideration.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Spectrum Exchange Transactions</w:t>
      </w:r>
    </w:p>
    <w:p>
      <w:pPr>
        <w:spacing w:after="0" w:line="2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we recognized $501 million, and during the nine months ended September 30, 2026 and 2025, we recognized $549 million and $173 million, respectively, of non-cash spectrum license acquisitions associated with the closing of certain exchange transactions, which were included in Spectrum licenses on our Condensed Consolidated Balance Sheets. There were no non-cash spectrum license acquisitions during the three months ended September 30, 2025.</w:t>
      </w:r>
    </w:p>
    <w:p>
      <w:pPr>
        <w:spacing w:after="0" w:line="207"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we recognized $14 million, and during the nine months ended September 30, 2026 and 2025, we recognized $38 million and $13 million, respectively, of gains associated with the closing of certain spectrum exchange transactions as a reduction to Selling, general and administrative expenses on our Condensed Consolidated Statements of Comprehensive Income. There were no gains or losses associated with spectrum exchange transactions during the three months ended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 Measurements</w:t>
      </w:r>
    </w:p>
    <w:p>
      <w:pPr>
        <w:spacing w:after="0" w:line="25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and accrued liabilities approximate fair value due to the short-term maturities of these instruments. The carrying values of EIP receivables approximate fair value as the receivables are recorded at their present value using an estimated market interest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use derivatives to manage exposure to market risk, such as exposure to fluctuations in foreign currency exchange rates and interest rates. We designate certain derivatives as hedging instruments in a qualifying hedge accounting relationship to mitigate fluctuations in values or cash flows related to such risks caused by foreign currency or interest rate volatility. We do not use derivatives for trading or speculative purposes.</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flows associated with qualifying hedge derivative instruments are presented in the same category on our Condensed Consolidated Statements of Cash Flows as the item being hedged. For fair value hedges, other than foreign currency hedges,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change in the fair value of the derivative instruments is recognized in earnings through the same income statement line item as the change in the fair value of the hedged item. For cash flow hedges, as well as fair value foreign currency hedges, the change in the fair value of the derivative instruments is reported in Accumulated other comprehensive loss and recognized in earnings when the hedged item is recognized in earnings, again, through the same income statement line item.</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record derivatives on our Condensed Consolidated Balance Sheets at fair value that is derived primarily from observable market data, including exchange rates, interest rates and forward curves. These market inputs are utilized in the discounted cash flow calculation considering the instrument's term, notional amount, discount rate and credit risk. Significant inputs to derivative valuations are generally observable in active markets and, as such, are classified as Level 2 in the fair value hierarchy.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Swaps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enter into cross-currency swaps to offset changes in the value of our payments on foreign-denominated debt in USD and to mitigate the impact of foreign currency transaction gains and losses.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We have entered into cross-currency swap agreements, with the same notional amounts as our EUR-denominated debt issuances, to effectively convert €7.3 billion to USD borrowings, with the same maturities as our EUR-denominated debt issuances. The swaps qualify and have been designated as fair value hedges of our EUR-denominated debt, mitigating our exposure to foreign currency transaction gains and losses.</w:t>
      </w:r>
    </w:p>
    <w:p>
      <w:pPr>
        <w:spacing w:after="0" w:line="20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Accordingly, all changes in the fair value of the swaps will be initially recorded through Accumulated other comprehensive loss on our Condensed Consolidated Balance Sheets and reclassified to earnings in an amount that exactly offsets the periodic transaction gain or loss on remeasuring the debt, such that there will be no earnings volatility due to changes in foreign-currency exchange rates. Transaction gains or losses on remeasuring the EUR-denominated debt, as well as the offsetting swap amounts, are recorded within Other expense, net on our Condensed Consolidated Statements of Comprehensive Income.</w:t>
      </w:r>
    </w:p>
    <w:p>
      <w:pPr>
        <w:spacing w:after="0" w:line="2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Changes in the fair value of the swaps may be different from the current period transaction gain or loss on remeasurement of the debt, in which case the difference will remain in Accumulated other comprehensive loss on our Condensed Consolidated Balance Sheets. These differences generally represent credit or liquidity risk, referred to as a basis spread, and the time value of money (“excluded components”). The value of the excluded components is recognized in earnings using a systematic and rational method by accruing the current-period swap settlements into Interest expense, net, on our Condensed Consolidated Statements of Comprehensive Income. If an amount remains in Accumulated other comprehensive loss on our Condensed Consolidated Balance Sheets upon settlement of the derivative, those amounts will be reclassified to earnings at that time.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our cross-currency swaps: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940" w:type="dxa"/>
            <w:vAlign w:val="bottom"/>
            <w:gridSpan w:val="3"/>
            <w:shd w:val="clear" w:color="auto" w:fill="E20074"/>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Three Months Ended September 30,</w:t>
            </w:r>
          </w:p>
        </w:tc>
        <w:tc>
          <w:tcPr>
            <w:tcW w:w="80" w:type="dxa"/>
            <w:vAlign w:val="bottom"/>
          </w:tcPr>
          <w:p>
            <w:pPr>
              <w:spacing w:after="0"/>
              <w:rPr>
                <w:sz w:val="18"/>
                <w:szCs w:val="18"/>
                <w:color w:val="auto"/>
              </w:rPr>
            </w:pPr>
          </w:p>
        </w:tc>
        <w:tc>
          <w:tcPr>
            <w:tcW w:w="2960" w:type="dxa"/>
            <w:vAlign w:val="bottom"/>
            <w:gridSpan w:val="3"/>
            <w:shd w:val="clear" w:color="auto" w:fill="E20074"/>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142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Pr>
          <w:p>
            <w:pPr>
              <w:spacing w:after="0"/>
              <w:rPr>
                <w:sz w:val="18"/>
                <w:szCs w:val="18"/>
                <w:color w:val="auto"/>
              </w:rPr>
            </w:pPr>
          </w:p>
        </w:tc>
        <w:tc>
          <w:tcPr>
            <w:tcW w:w="142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144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r>
      <w:tr>
        <w:trPr>
          <w:trHeight w:val="206"/>
        </w:trPr>
        <w:tc>
          <w:tcPr>
            <w:tcW w:w="52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1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2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40" w:type="dxa"/>
            <w:vAlign w:val="bottom"/>
            <w:shd w:val="clear" w:color="auto" w:fill="DDDDDD"/>
          </w:tcPr>
          <w:p>
            <w:pPr>
              <w:spacing w:after="0"/>
              <w:rPr>
                <w:sz w:val="17"/>
                <w:szCs w:val="17"/>
                <w:color w:val="auto"/>
              </w:rPr>
            </w:pPr>
          </w:p>
        </w:tc>
      </w:tr>
      <w:tr>
        <w:trPr>
          <w:trHeight w:val="23"/>
        </w:trPr>
        <w:tc>
          <w:tcPr>
            <w:tcW w:w="5240" w:type="dxa"/>
            <w:vAlign w:val="bottom"/>
            <w:shd w:val="clear" w:color="auto" w:fill="DDDDDD"/>
          </w:tcPr>
          <w:p>
            <w:pPr>
              <w:spacing w:after="0"/>
              <w:rPr>
                <w:sz w:val="2"/>
                <w:szCs w:val="2"/>
                <w:color w:val="auto"/>
              </w:rPr>
            </w:pPr>
          </w:p>
        </w:tc>
        <w:tc>
          <w:tcPr>
            <w:tcW w:w="142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1420" w:type="dxa"/>
            <w:vAlign w:val="bottom"/>
            <w:shd w:val="clear" w:color="auto" w:fill="DDDDDD"/>
          </w:tcPr>
          <w:p>
            <w:pPr>
              <w:spacing w:after="0"/>
              <w:rPr>
                <w:sz w:val="2"/>
                <w:szCs w:val="2"/>
                <w:color w:val="auto"/>
              </w:rPr>
            </w:pPr>
          </w:p>
        </w:tc>
        <w:tc>
          <w:tcPr>
            <w:tcW w:w="80" w:type="dxa"/>
            <w:vAlign w:val="bottom"/>
            <w:shd w:val="clear" w:color="auto" w:fill="DDDDDD"/>
          </w:tcPr>
          <w:p>
            <w:pPr>
              <w:spacing w:after="0"/>
              <w:rPr>
                <w:sz w:val="2"/>
                <w:szCs w:val="2"/>
                <w:color w:val="auto"/>
              </w:rPr>
            </w:pPr>
          </w:p>
        </w:tc>
        <w:tc>
          <w:tcPr>
            <w:tcW w:w="142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1440" w:type="dxa"/>
            <w:vAlign w:val="bottom"/>
            <w:shd w:val="clear" w:color="auto" w:fill="DDDDDD"/>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15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Pre-tax transaction gain (loss) on remeasurement of EUR-denominated debt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Amount recognized in Other expense, net reclassified from Accumulated other</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Amount recognized in Accumulated other comprehensive loss reclassified to Other</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expense, net</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15175"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15175"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222885"/>
                    </a:xfrm>
                    <a:prstGeom prst="rect">
                      <a:avLst/>
                    </a:prstGeom>
                    <a:noFill/>
                  </pic:spPr>
                </pic:pic>
              </a:graphicData>
            </a:graphic>
          </wp:anchor>
        </w:drawing>
      </w:r>
    </w:p>
    <w:p>
      <w:pPr>
        <w:ind w:left="20" w:right="480"/>
        <w:spacing w:after="0" w:line="261" w:lineRule="auto"/>
        <w:rPr>
          <w:sz w:val="20"/>
          <w:szCs w:val="20"/>
          <w:color w:val="auto"/>
        </w:rPr>
      </w:pPr>
      <w:r>
        <w:rPr>
          <w:rFonts w:ascii="Times New Roman" w:cs="Times New Roman" w:eastAsia="Times New Roman" w:hAnsi="Times New Roman"/>
          <w:sz w:val="14"/>
          <w:szCs w:val="14"/>
          <w:color w:val="auto"/>
        </w:rPr>
        <w:t>Gain (loss) associated with the change in fair value of cross-currency swaps recognized in Accumulated other 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6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25</w:t>
            </w:r>
          </w:p>
        </w:tc>
        <w:tc>
          <w:tcPr>
            <w:tcW w:w="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287</w:t>
            </w:r>
          </w:p>
        </w:tc>
        <w:tc>
          <w:tcPr>
            <w:tcW w:w="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w w:val="98"/>
              </w:rPr>
              <w:t>(654)</w:t>
            </w:r>
          </w:p>
        </w:tc>
      </w:tr>
      <w:tr>
        <w:trPr>
          <w:trHeight w:val="351"/>
        </w:trPr>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(28)</w:t>
            </w:r>
          </w:p>
        </w:tc>
        <w:tc>
          <w:tcPr>
            <w:tcW w:w="680" w:type="dxa"/>
            <w:vAlign w:val="bottom"/>
          </w:tcPr>
          <w:p>
            <w:pPr>
              <w:spacing w:after="0"/>
              <w:rPr>
                <w:sz w:val="24"/>
                <w:szCs w:val="24"/>
                <w:color w:val="auto"/>
              </w:rPr>
            </w:pPr>
          </w:p>
        </w:tc>
        <w:tc>
          <w:tcPr>
            <w:tcW w:w="8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(25)</w:t>
            </w:r>
          </w:p>
        </w:tc>
        <w:tc>
          <w:tcPr>
            <w:tcW w:w="640" w:type="dxa"/>
            <w:vAlign w:val="bottom"/>
          </w:tcPr>
          <w:p>
            <w:pPr>
              <w:spacing w:after="0"/>
              <w:rPr>
                <w:sz w:val="24"/>
                <w:szCs w:val="24"/>
                <w:color w:val="auto"/>
              </w:rPr>
            </w:pPr>
          </w:p>
        </w:tc>
        <w:tc>
          <w:tcPr>
            <w:tcW w:w="8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(287)</w:t>
            </w:r>
          </w:p>
        </w:tc>
        <w:tc>
          <w:tcPr>
            <w:tcW w:w="640" w:type="dxa"/>
            <w:vAlign w:val="bottom"/>
          </w:tcPr>
          <w:p>
            <w:pPr>
              <w:spacing w:after="0"/>
              <w:rPr>
                <w:sz w:val="24"/>
                <w:szCs w:val="24"/>
                <w:color w:val="auto"/>
              </w:rPr>
            </w:pPr>
          </w:p>
        </w:tc>
        <w:tc>
          <w:tcPr>
            <w:tcW w:w="80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654</w:t>
            </w:r>
          </w:p>
        </w:tc>
      </w:tr>
      <w:tr>
        <w:trPr>
          <w:trHeight w:val="567"/>
        </w:trPr>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6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25</w:t>
            </w:r>
          </w:p>
        </w:tc>
        <w:tc>
          <w:tcPr>
            <w:tcW w:w="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287</w:t>
            </w:r>
          </w:p>
        </w:tc>
        <w:tc>
          <w:tcPr>
            <w:tcW w:w="6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left="428"/>
              <w:spacing w:after="0"/>
              <w:rPr>
                <w:sz w:val="20"/>
                <w:szCs w:val="20"/>
                <w:color w:val="auto"/>
              </w:rPr>
            </w:pPr>
            <w:r>
              <w:rPr>
                <w:rFonts w:ascii="Times New Roman" w:cs="Times New Roman" w:eastAsia="Times New Roman" w:hAnsi="Times New Roman"/>
                <w:sz w:val="14"/>
                <w:szCs w:val="14"/>
                <w:color w:val="auto"/>
                <w:w w:val="98"/>
              </w:rPr>
              <w:t>(654)</w:t>
            </w:r>
          </w:p>
        </w:tc>
      </w:tr>
      <w:tr>
        <w:trPr>
          <w:trHeight w:val="351"/>
        </w:trPr>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680" w:type="dxa"/>
            <w:vAlign w:val="bottom"/>
          </w:tcPr>
          <w:p>
            <w:pPr>
              <w:spacing w:after="0"/>
              <w:rPr>
                <w:sz w:val="24"/>
                <w:szCs w:val="24"/>
                <w:color w:val="auto"/>
              </w:rPr>
            </w:pPr>
          </w:p>
        </w:tc>
        <w:tc>
          <w:tcPr>
            <w:tcW w:w="84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(52)</w:t>
            </w:r>
          </w:p>
        </w:tc>
        <w:tc>
          <w:tcPr>
            <w:tcW w:w="640" w:type="dxa"/>
            <w:vAlign w:val="bottom"/>
          </w:tcPr>
          <w:p>
            <w:pPr>
              <w:spacing w:after="0"/>
              <w:rPr>
                <w:sz w:val="24"/>
                <w:szCs w:val="24"/>
                <w:color w:val="auto"/>
              </w:rPr>
            </w:pPr>
          </w:p>
        </w:tc>
        <w:tc>
          <w:tcPr>
            <w:tcW w:w="8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(109)</w:t>
            </w:r>
          </w:p>
        </w:tc>
        <w:tc>
          <w:tcPr>
            <w:tcW w:w="640" w:type="dxa"/>
            <w:vAlign w:val="bottom"/>
          </w:tcPr>
          <w:p>
            <w:pPr>
              <w:spacing w:after="0"/>
              <w:rPr>
                <w:sz w:val="24"/>
                <w:szCs w:val="24"/>
                <w:color w:val="auto"/>
              </w:rPr>
            </w:pPr>
          </w:p>
        </w:tc>
        <w:tc>
          <w:tcPr>
            <w:tcW w:w="80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439</w:t>
            </w:r>
          </w:p>
        </w:tc>
      </w:tr>
    </w:tbl>
    <w:p>
      <w:pPr>
        <w:spacing w:after="0" w:line="226" w:lineRule="exact"/>
        <w:rPr>
          <w:sz w:val="20"/>
          <w:szCs w:val="20"/>
          <w:color w:val="auto"/>
        </w:rPr>
      </w:pPr>
    </w:p>
    <w:p>
      <w:pPr>
        <w:sectPr>
          <w:pgSz w:w="11900" w:h="16838" w:orient="portrait"/>
          <w:cols w:equalWidth="0" w:num="2">
            <w:col w:w="5680" w:space="720"/>
            <w:col w:w="4840"/>
          </w:cols>
          <w:pgMar w:left="320" w:top="121" w:right="33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Derivatives</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April 2020, we terminated our interest rate lock derivatives entered into in October 2018. Aggregate changes in the fair value of our terminated interest rate lock derivatives, net of amortization, of $619 million and $771 million are presented in Accumulated other comprehensive loss on our Condensed Consolidated Balance Sheets as of September 30, 2026 and December 31, 2025, respectively.</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amortized $70 million and $64 million, respectively, and during the nine months ended September 30, 2026 and 2025, we amortized $204 million and $189 million, respectively, from Accumulated other comprehensive loss into Interest expense, net, on our Condensed Consolidated Statements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Comprehensive Income. We expect to amortize $290 million of the Accumulated other comprehensive loss associated with the derivatives into Interest expense, net, over the 12 months ending September 30,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fair values of our Senior Notes and spectrum-backed Senior Secured Notes to third parties were determined based on quoted market prices in active markets. Accordingly, our Senior Notes and spectrum-backed Senior Secured Notes to third parties were classified as Level 1 within the fair value hierarchy. The fair value of our Senior Notes to affiliates was determined based on the fair value of the Senior Notes to third parties with similar terms and maturities. Accordingly, our Senior Notes to affiliates were classified as Level 2 within the fair value hierarchy. The fair values of our Senior Notes to third parties (EUR-denominated) and asset-backed notes (“ABS Notes”) were primarily based on quoted prices in inactive markets for identical instruments and observable changes in market interest rates, both of which are Level 2 inputs. Accordingly, our Senior Notes to third parties (EUR-denominated) and ABS Notes were classified as Level 2 within the fair value hierarchy. The fair value of our borrowings related to credit agreements with certain financial institutions, backed by Export Credit Agencies (the “ECA Facilities”) and the MRFA (as defined below) was determined based on a discounted cash flow approach using market interest rates of instruments with similar maturities and credit risk. Accordingly, our borrowings related to the ECA Facilities and MRFA were classified as Level 2 within the fair value hierarchy.</w:t>
      </w:r>
    </w:p>
    <w:p>
      <w:pPr>
        <w:spacing w:after="0" w:line="2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Although we have determined the estimated fair values using available market information and commonly accepted valuation methodologies, judgment was required in interpreting market data to develop fair value estimates for the Senior Notes to third parties (EUR-denominated), Senior Notes to affiliates, ABS Notes and borrowings related to the ECA Facilities and MRFA. The fair value estimates were based on information available as of September 30, 2026 and December 31, 2025. As such, our estimates are not necessarily indicative of the amount we could realize in a current market exchange.</w:t>
      </w:r>
    </w:p>
    <w:p>
      <w:pPr>
        <w:spacing w:after="0" w:line="191"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8"/>
          <w:szCs w:val="18"/>
          <w:color w:val="auto"/>
        </w:rPr>
        <w:t>The carrying amounts and fair values of our short-term and long-term debt, excluding accrued interest, included on our Condensed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420" w:type="dxa"/>
            <w:vAlign w:val="bottom"/>
            <w:shd w:val="clear" w:color="auto" w:fill="E20074"/>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shd w:val="clear" w:color="auto" w:fill="E20074"/>
          </w:tcPr>
          <w:p>
            <w:pPr>
              <w:spacing w:after="0"/>
              <w:rPr>
                <w:sz w:val="19"/>
                <w:szCs w:val="19"/>
                <w:color w:val="auto"/>
              </w:rPr>
            </w:pPr>
          </w:p>
        </w:tc>
        <w:tc>
          <w:tcPr>
            <w:tcW w:w="2820" w:type="dxa"/>
            <w:vAlign w:val="bottom"/>
            <w:gridSpan w:val="4"/>
            <w:shd w:val="clear" w:color="auto" w:fill="E20074"/>
          </w:tcPr>
          <w:p>
            <w:pPr>
              <w:jc w:val="right"/>
              <w:ind w:right="80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100" w:type="dxa"/>
            <w:vAlign w:val="bottom"/>
          </w:tcPr>
          <w:p>
            <w:pPr>
              <w:spacing w:after="0"/>
              <w:rPr>
                <w:sz w:val="19"/>
                <w:szCs w:val="19"/>
                <w:color w:val="auto"/>
              </w:rPr>
            </w:pPr>
          </w:p>
        </w:tc>
        <w:tc>
          <w:tcPr>
            <w:tcW w:w="120" w:type="dxa"/>
            <w:vAlign w:val="bottom"/>
            <w:shd w:val="clear" w:color="auto" w:fill="E20074"/>
          </w:tcPr>
          <w:p>
            <w:pPr>
              <w:spacing w:after="0"/>
              <w:rPr>
                <w:sz w:val="19"/>
                <w:szCs w:val="19"/>
                <w:color w:val="auto"/>
              </w:rPr>
            </w:pPr>
          </w:p>
        </w:tc>
        <w:tc>
          <w:tcPr>
            <w:tcW w:w="2840" w:type="dxa"/>
            <w:vAlign w:val="bottom"/>
            <w:gridSpan w:val="4"/>
            <w:shd w:val="clear" w:color="auto" w:fill="E20074"/>
          </w:tcPr>
          <w:p>
            <w:pPr>
              <w:jc w:val="right"/>
              <w:ind w:right="828"/>
              <w:spacing w:after="0"/>
              <w:rPr>
                <w:sz w:val="20"/>
                <w:szCs w:val="20"/>
                <w:color w:val="auto"/>
              </w:rPr>
            </w:pPr>
            <w:r>
              <w:rPr>
                <w:rFonts w:ascii="Times New Roman" w:cs="Times New Roman" w:eastAsia="Times New Roman" w:hAnsi="Times New Roman"/>
                <w:sz w:val="14"/>
                <w:szCs w:val="14"/>
                <w:b w:val="1"/>
                <w:bCs w:val="1"/>
                <w:color w:val="FFFFFF"/>
              </w:rPr>
              <w:t>December 31, 2025</w:t>
            </w:r>
          </w:p>
        </w:tc>
        <w:tc>
          <w:tcPr>
            <w:tcW w:w="0" w:type="dxa"/>
            <w:vAlign w:val="bottom"/>
          </w:tcPr>
          <w:p>
            <w:pPr>
              <w:spacing w:after="0"/>
              <w:rPr>
                <w:sz w:val="1"/>
                <w:szCs w:val="1"/>
                <w:color w:val="auto"/>
              </w:rPr>
            </w:pPr>
          </w:p>
        </w:tc>
      </w:tr>
      <w:tr>
        <w:trPr>
          <w:trHeight w:val="17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Level within the Fair</w:t>
            </w:r>
          </w:p>
        </w:tc>
        <w:tc>
          <w:tcPr>
            <w:tcW w:w="120" w:type="dxa"/>
            <w:vAlign w:val="bottom"/>
          </w:tcPr>
          <w:p>
            <w:pPr>
              <w:spacing w:after="0"/>
              <w:rPr>
                <w:sz w:val="15"/>
                <w:szCs w:val="15"/>
                <w:color w:val="auto"/>
              </w:rPr>
            </w:pPr>
          </w:p>
        </w:tc>
        <w:tc>
          <w:tcPr>
            <w:tcW w:w="120" w:type="dxa"/>
            <w:vAlign w:val="bottom"/>
            <w:shd w:val="clear" w:color="auto" w:fill="E20074"/>
          </w:tcPr>
          <w:p>
            <w:pPr>
              <w:spacing w:after="0"/>
              <w:rPr>
                <w:sz w:val="15"/>
                <w:szCs w:val="15"/>
                <w:color w:val="auto"/>
              </w:rPr>
            </w:pPr>
          </w:p>
        </w:tc>
        <w:tc>
          <w:tcPr>
            <w:tcW w:w="1280" w:type="dxa"/>
            <w:vAlign w:val="bottom"/>
            <w:vMerge w:val="restart"/>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Carrying Amount</w:t>
            </w:r>
          </w:p>
        </w:tc>
        <w:tc>
          <w:tcPr>
            <w:tcW w:w="120" w:type="dxa"/>
            <w:vAlign w:val="bottom"/>
          </w:tcPr>
          <w:p>
            <w:pPr>
              <w:spacing w:after="0"/>
              <w:rPr>
                <w:sz w:val="15"/>
                <w:szCs w:val="15"/>
                <w:color w:val="auto"/>
              </w:rPr>
            </w:pPr>
          </w:p>
        </w:tc>
        <w:tc>
          <w:tcPr>
            <w:tcW w:w="240" w:type="dxa"/>
            <w:vAlign w:val="bottom"/>
            <w:shd w:val="clear" w:color="auto" w:fill="E20074"/>
          </w:tcPr>
          <w:p>
            <w:pPr>
              <w:spacing w:after="0"/>
              <w:rPr>
                <w:sz w:val="15"/>
                <w:szCs w:val="15"/>
                <w:color w:val="auto"/>
              </w:rPr>
            </w:pPr>
          </w:p>
        </w:tc>
        <w:tc>
          <w:tcPr>
            <w:tcW w:w="1180" w:type="dxa"/>
            <w:vAlign w:val="bottom"/>
            <w:vMerge w:val="restart"/>
            <w:shd w:val="clear" w:color="auto" w:fill="E20074"/>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100" w:type="dxa"/>
            <w:vAlign w:val="bottom"/>
          </w:tcPr>
          <w:p>
            <w:pPr>
              <w:spacing w:after="0"/>
              <w:rPr>
                <w:sz w:val="15"/>
                <w:szCs w:val="15"/>
                <w:color w:val="auto"/>
              </w:rPr>
            </w:pPr>
          </w:p>
        </w:tc>
        <w:tc>
          <w:tcPr>
            <w:tcW w:w="120" w:type="dxa"/>
            <w:vAlign w:val="bottom"/>
            <w:shd w:val="clear" w:color="auto" w:fill="E20074"/>
          </w:tcPr>
          <w:p>
            <w:pPr>
              <w:spacing w:after="0"/>
              <w:rPr>
                <w:sz w:val="15"/>
                <w:szCs w:val="15"/>
                <w:color w:val="auto"/>
              </w:rPr>
            </w:pPr>
          </w:p>
        </w:tc>
        <w:tc>
          <w:tcPr>
            <w:tcW w:w="1320" w:type="dxa"/>
            <w:vAlign w:val="bottom"/>
            <w:vMerge w:val="restart"/>
            <w:shd w:val="clear" w:color="auto" w:fill="E20074"/>
          </w:tcPr>
          <w:p>
            <w:pPr>
              <w:jc w:val="right"/>
              <w:ind w:right="88"/>
              <w:spacing w:after="0"/>
              <w:rPr>
                <w:sz w:val="20"/>
                <w:szCs w:val="20"/>
                <w:color w:val="auto"/>
              </w:rPr>
            </w:pPr>
            <w:r>
              <w:rPr>
                <w:rFonts w:ascii="Times New Roman" w:cs="Times New Roman" w:eastAsia="Times New Roman" w:hAnsi="Times New Roman"/>
                <w:sz w:val="14"/>
                <w:szCs w:val="14"/>
                <w:b w:val="1"/>
                <w:bCs w:val="1"/>
                <w:color w:val="FFFFFF"/>
              </w:rPr>
              <w:t>Carrying Amount</w:t>
            </w:r>
          </w:p>
        </w:tc>
        <w:tc>
          <w:tcPr>
            <w:tcW w:w="100" w:type="dxa"/>
            <w:vAlign w:val="bottom"/>
          </w:tcPr>
          <w:p>
            <w:pPr>
              <w:spacing w:after="0"/>
              <w:rPr>
                <w:sz w:val="15"/>
                <w:szCs w:val="15"/>
                <w:color w:val="auto"/>
              </w:rPr>
            </w:pPr>
          </w:p>
        </w:tc>
        <w:tc>
          <w:tcPr>
            <w:tcW w:w="240" w:type="dxa"/>
            <w:vAlign w:val="bottom"/>
            <w:shd w:val="clear" w:color="auto" w:fill="E20074"/>
          </w:tcPr>
          <w:p>
            <w:pPr>
              <w:spacing w:after="0"/>
              <w:rPr>
                <w:sz w:val="15"/>
                <w:szCs w:val="15"/>
                <w:color w:val="auto"/>
              </w:rPr>
            </w:pPr>
          </w:p>
        </w:tc>
        <w:tc>
          <w:tcPr>
            <w:tcW w:w="1180" w:type="dxa"/>
            <w:vAlign w:val="bottom"/>
            <w:vMerge w:val="restart"/>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0" w:type="dxa"/>
            <w:vAlign w:val="bottom"/>
          </w:tcPr>
          <w:p>
            <w:pPr>
              <w:spacing w:after="0"/>
              <w:rPr>
                <w:sz w:val="1"/>
                <w:szCs w:val="1"/>
                <w:color w:val="auto"/>
              </w:rPr>
            </w:pPr>
          </w:p>
        </w:tc>
      </w:tr>
      <w:tr>
        <w:trPr>
          <w:trHeight w:val="200"/>
        </w:trPr>
        <w:tc>
          <w:tcPr>
            <w:tcW w:w="3700" w:type="dxa"/>
            <w:vAlign w:val="bottom"/>
            <w:vMerge w:val="continue"/>
          </w:tcPr>
          <w:p>
            <w:pPr>
              <w:spacing w:after="0"/>
              <w:rPr>
                <w:sz w:val="17"/>
                <w:szCs w:val="17"/>
                <w:color w:val="auto"/>
              </w:rPr>
            </w:pPr>
          </w:p>
        </w:tc>
        <w:tc>
          <w:tcPr>
            <w:tcW w:w="142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Value Hierarchy</w:t>
            </w:r>
          </w:p>
        </w:tc>
        <w:tc>
          <w:tcPr>
            <w:tcW w:w="12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280" w:type="dxa"/>
            <w:vAlign w:val="bottom"/>
            <w:vMerge w:val="continue"/>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118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32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1180" w:type="dxa"/>
            <w:vAlign w:val="bottom"/>
            <w:vMerge w:val="continue"/>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to third parties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70,517</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Senior Notes to third parties (EUR-denominated)</w:t>
            </w:r>
          </w:p>
        </w:tc>
        <w:tc>
          <w:tcPr>
            <w:tcW w:w="14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8,183</w:t>
            </w:r>
          </w:p>
        </w:tc>
        <w:tc>
          <w:tcPr>
            <w:tcW w:w="1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5,460</w:t>
            </w: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to affiliates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Senior Secured Notes to third parties</w:t>
            </w:r>
          </w:p>
        </w:tc>
        <w:tc>
          <w:tcPr>
            <w:tcW w:w="14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9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ABS Notes to third parties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7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Borrowings related to ECA Facilities and MRFA</w:t>
            </w:r>
          </w:p>
        </w:tc>
        <w:tc>
          <w:tcPr>
            <w:tcW w:w="14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23"/>
        </w:trPr>
        <w:tc>
          <w:tcPr>
            <w:tcW w:w="370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-1207770</wp:posOffset>
            </wp:positionV>
            <wp:extent cx="38144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144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debt balances and activity as of, and for the nine months ended, September 30, 2026:</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80" w:type="dxa"/>
            <w:vAlign w:val="bottom"/>
            <w:shd w:val="clear" w:color="auto" w:fill="E20074"/>
          </w:tcPr>
          <w:p>
            <w:pPr>
              <w:spacing w:after="0"/>
              <w:rPr>
                <w:sz w:val="13"/>
                <w:szCs w:val="13"/>
                <w:color w:val="auto"/>
              </w:rPr>
            </w:pPr>
          </w:p>
        </w:tc>
        <w:tc>
          <w:tcPr>
            <w:tcW w:w="1240" w:type="dxa"/>
            <w:vAlign w:val="bottom"/>
            <w:vMerge w:val="restart"/>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80" w:type="dxa"/>
            <w:vAlign w:val="bottom"/>
          </w:tcPr>
          <w:p>
            <w:pPr>
              <w:spacing w:after="0"/>
              <w:rPr>
                <w:sz w:val="13"/>
                <w:szCs w:val="13"/>
                <w:color w:val="auto"/>
              </w:rPr>
            </w:pPr>
          </w:p>
        </w:tc>
        <w:tc>
          <w:tcPr>
            <w:tcW w:w="180" w:type="dxa"/>
            <w:vAlign w:val="bottom"/>
            <w:shd w:val="clear" w:color="auto" w:fill="E20074"/>
          </w:tcPr>
          <w:p>
            <w:pPr>
              <w:spacing w:after="0"/>
              <w:rPr>
                <w:sz w:val="13"/>
                <w:szCs w:val="13"/>
                <w:color w:val="auto"/>
              </w:rPr>
            </w:pPr>
          </w:p>
        </w:tc>
        <w:tc>
          <w:tcPr>
            <w:tcW w:w="1260" w:type="dxa"/>
            <w:vAlign w:val="bottom"/>
            <w:shd w:val="clear" w:color="auto" w:fill="E20074"/>
          </w:tcPr>
          <w:p>
            <w:pPr>
              <w:jc w:val="center"/>
              <w:ind w:right="108"/>
              <w:spacing w:after="0"/>
              <w:rPr>
                <w:sz w:val="20"/>
                <w:szCs w:val="20"/>
                <w:color w:val="auto"/>
              </w:rPr>
            </w:pPr>
            <w:r>
              <w:rPr>
                <w:rFonts w:ascii="Times New Roman" w:cs="Times New Roman" w:eastAsia="Times New Roman" w:hAnsi="Times New Roman"/>
                <w:sz w:val="14"/>
                <w:szCs w:val="14"/>
                <w:b w:val="1"/>
                <w:bCs w:val="1"/>
                <w:color w:val="FFFFFF"/>
              </w:rPr>
              <w:t>Proceeds from</w:t>
            </w:r>
          </w:p>
        </w:tc>
        <w:tc>
          <w:tcPr>
            <w:tcW w:w="100" w:type="dxa"/>
            <w:vAlign w:val="bottom"/>
          </w:tcPr>
          <w:p>
            <w:pPr>
              <w:spacing w:after="0"/>
              <w:rPr>
                <w:sz w:val="13"/>
                <w:szCs w:val="13"/>
                <w:color w:val="auto"/>
              </w:rPr>
            </w:pPr>
          </w:p>
        </w:tc>
        <w:tc>
          <w:tcPr>
            <w:tcW w:w="120" w:type="dxa"/>
            <w:vAlign w:val="bottom"/>
            <w:shd w:val="clear" w:color="auto" w:fill="E20074"/>
          </w:tcPr>
          <w:p>
            <w:pPr>
              <w:spacing w:after="0"/>
              <w:rPr>
                <w:sz w:val="13"/>
                <w:szCs w:val="13"/>
                <w:color w:val="auto"/>
              </w:rPr>
            </w:pPr>
          </w:p>
        </w:tc>
        <w:tc>
          <w:tcPr>
            <w:tcW w:w="1300" w:type="dxa"/>
            <w:vAlign w:val="bottom"/>
            <w:shd w:val="clear" w:color="auto" w:fill="E20074"/>
          </w:tcPr>
          <w:p>
            <w:pPr>
              <w:jc w:val="center"/>
              <w:ind w:right="68"/>
              <w:spacing w:after="0"/>
              <w:rPr>
                <w:sz w:val="20"/>
                <w:szCs w:val="20"/>
                <w:color w:val="auto"/>
              </w:rPr>
            </w:pPr>
            <w:r>
              <w:rPr>
                <w:rFonts w:ascii="Times New Roman" w:cs="Times New Roman" w:eastAsia="Times New Roman" w:hAnsi="Times New Roman"/>
                <w:sz w:val="14"/>
                <w:szCs w:val="14"/>
                <w:b w:val="1"/>
                <w:bCs w:val="1"/>
                <w:color w:val="FFFFFF"/>
              </w:rPr>
              <w:t>Redemptions,</w:t>
            </w:r>
          </w:p>
        </w:tc>
        <w:tc>
          <w:tcPr>
            <w:tcW w:w="100" w:type="dxa"/>
            <w:vAlign w:val="bottom"/>
          </w:tcPr>
          <w:p>
            <w:pPr>
              <w:spacing w:after="0"/>
              <w:rPr>
                <w:sz w:val="13"/>
                <w:szCs w:val="13"/>
                <w:color w:val="auto"/>
              </w:rPr>
            </w:pPr>
          </w:p>
        </w:tc>
        <w:tc>
          <w:tcPr>
            <w:tcW w:w="140" w:type="dxa"/>
            <w:vAlign w:val="bottom"/>
            <w:shd w:val="clear" w:color="auto" w:fill="E20074"/>
          </w:tcPr>
          <w:p>
            <w:pPr>
              <w:spacing w:after="0"/>
              <w:rPr>
                <w:sz w:val="13"/>
                <w:szCs w:val="13"/>
                <w:color w:val="auto"/>
              </w:rPr>
            </w:pPr>
          </w:p>
        </w:tc>
        <w:tc>
          <w:tcPr>
            <w:tcW w:w="1380" w:type="dxa"/>
            <w:vAlign w:val="bottom"/>
            <w:shd w:val="clear" w:color="auto" w:fill="E20074"/>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shd w:val="clear" w:color="auto" w:fill="E20074"/>
          </w:tcPr>
          <w:p>
            <w:pPr>
              <w:spacing w:after="0"/>
              <w:rPr>
                <w:sz w:val="13"/>
                <w:szCs w:val="13"/>
                <w:color w:val="auto"/>
              </w:rPr>
            </w:pPr>
          </w:p>
        </w:tc>
        <w:tc>
          <w:tcPr>
            <w:tcW w:w="400" w:type="dxa"/>
            <w:vAlign w:val="bottom"/>
            <w:shd w:val="clear" w:color="auto" w:fill="E20074"/>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shd w:val="clear" w:color="auto" w:fill="E20074"/>
          </w:tcPr>
          <w:p>
            <w:pPr>
              <w:spacing w:after="0"/>
              <w:rPr>
                <w:sz w:val="13"/>
                <w:szCs w:val="13"/>
                <w:color w:val="auto"/>
              </w:rPr>
            </w:pPr>
          </w:p>
        </w:tc>
        <w:tc>
          <w:tcPr>
            <w:tcW w:w="1240" w:type="dxa"/>
            <w:vAlign w:val="bottom"/>
            <w:vMerge w:val="restart"/>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14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E20074"/>
          </w:tcPr>
          <w:p>
            <w:pPr>
              <w:spacing w:after="0"/>
              <w:rPr>
                <w:sz w:val="12"/>
                <w:szCs w:val="12"/>
                <w:color w:val="auto"/>
              </w:rPr>
            </w:pPr>
          </w:p>
        </w:tc>
        <w:tc>
          <w:tcPr>
            <w:tcW w:w="1240" w:type="dxa"/>
            <w:vAlign w:val="bottom"/>
            <w:vMerge w:val="continue"/>
            <w:shd w:val="clear" w:color="auto" w:fill="E20074"/>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shd w:val="clear" w:color="auto" w:fill="E20074"/>
          </w:tcPr>
          <w:p>
            <w:pPr>
              <w:spacing w:after="0"/>
              <w:rPr>
                <w:sz w:val="12"/>
                <w:szCs w:val="12"/>
                <w:color w:val="auto"/>
              </w:rPr>
            </w:pPr>
          </w:p>
        </w:tc>
        <w:tc>
          <w:tcPr>
            <w:tcW w:w="1260" w:type="dxa"/>
            <w:vAlign w:val="bottom"/>
            <w:shd w:val="clear" w:color="auto" w:fill="E20074"/>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FFFFFF"/>
              </w:rPr>
              <w:t>Issuances and</w:t>
            </w:r>
          </w:p>
        </w:tc>
        <w:tc>
          <w:tcPr>
            <w:tcW w:w="100" w:type="dxa"/>
            <w:vAlign w:val="bottom"/>
          </w:tcPr>
          <w:p>
            <w:pPr>
              <w:spacing w:after="0"/>
              <w:rPr>
                <w:sz w:val="12"/>
                <w:szCs w:val="12"/>
                <w:color w:val="auto"/>
              </w:rPr>
            </w:pPr>
          </w:p>
        </w:tc>
        <w:tc>
          <w:tcPr>
            <w:tcW w:w="120" w:type="dxa"/>
            <w:vAlign w:val="bottom"/>
            <w:shd w:val="clear" w:color="auto" w:fill="E20074"/>
          </w:tcPr>
          <w:p>
            <w:pPr>
              <w:spacing w:after="0"/>
              <w:rPr>
                <w:sz w:val="12"/>
                <w:szCs w:val="12"/>
                <w:color w:val="auto"/>
              </w:rPr>
            </w:pPr>
          </w:p>
        </w:tc>
        <w:tc>
          <w:tcPr>
            <w:tcW w:w="1300" w:type="dxa"/>
            <w:vAlign w:val="bottom"/>
            <w:shd w:val="clear" w:color="auto" w:fill="E20074"/>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FFFFFF"/>
              </w:rPr>
              <w:t>Repayments, and</w:t>
            </w:r>
          </w:p>
        </w:tc>
        <w:tc>
          <w:tcPr>
            <w:tcW w:w="100" w:type="dxa"/>
            <w:vAlign w:val="bottom"/>
          </w:tcPr>
          <w:p>
            <w:pPr>
              <w:spacing w:after="0"/>
              <w:rPr>
                <w:sz w:val="12"/>
                <w:szCs w:val="12"/>
                <w:color w:val="auto"/>
              </w:rPr>
            </w:pPr>
          </w:p>
        </w:tc>
        <w:tc>
          <w:tcPr>
            <w:tcW w:w="140" w:type="dxa"/>
            <w:vAlign w:val="bottom"/>
            <w:shd w:val="clear" w:color="auto" w:fill="E20074"/>
          </w:tcPr>
          <w:p>
            <w:pPr>
              <w:spacing w:after="0"/>
              <w:rPr>
                <w:sz w:val="12"/>
                <w:szCs w:val="12"/>
                <w:color w:val="auto"/>
              </w:rPr>
            </w:pPr>
          </w:p>
        </w:tc>
        <w:tc>
          <w:tcPr>
            <w:tcW w:w="1380" w:type="dxa"/>
            <w:vAlign w:val="bottom"/>
            <w:vMerge w:val="restart"/>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 xml:space="preserve">Reclassifications </w:t>
            </w:r>
            <w:r>
              <w:rPr>
                <w:rFonts w:ascii="Times New Roman" w:cs="Times New Roman" w:eastAsia="Times New Roman" w:hAnsi="Times New Roman"/>
                <w:sz w:val="18"/>
                <w:szCs w:val="18"/>
                <w:b w:val="1"/>
                <w:bCs w:val="1"/>
                <w:color w:val="FFFFFF"/>
                <w:vertAlign w:val="superscript"/>
              </w:rPr>
              <w:t>(1)</w:t>
            </w:r>
          </w:p>
        </w:tc>
        <w:tc>
          <w:tcPr>
            <w:tcW w:w="100" w:type="dxa"/>
            <w:vAlign w:val="bottom"/>
          </w:tcPr>
          <w:p>
            <w:pPr>
              <w:spacing w:after="0"/>
              <w:rPr>
                <w:sz w:val="12"/>
                <w:szCs w:val="12"/>
                <w:color w:val="auto"/>
              </w:rPr>
            </w:pPr>
          </w:p>
        </w:tc>
        <w:tc>
          <w:tcPr>
            <w:tcW w:w="1020" w:type="dxa"/>
            <w:vAlign w:val="bottom"/>
            <w:vMerge w:val="restart"/>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 xml:space="preserve">Other </w:t>
            </w:r>
            <w:r>
              <w:rPr>
                <w:rFonts w:ascii="Times New Roman" w:cs="Times New Roman" w:eastAsia="Times New Roman" w:hAnsi="Times New Roman"/>
                <w:sz w:val="18"/>
                <w:szCs w:val="18"/>
                <w:b w:val="1"/>
                <w:bCs w:val="1"/>
                <w:color w:val="FFFFFF"/>
                <w:vertAlign w:val="superscript"/>
              </w:rPr>
              <w:t>(2)</w:t>
            </w:r>
          </w:p>
        </w:tc>
        <w:tc>
          <w:tcPr>
            <w:tcW w:w="400" w:type="dxa"/>
            <w:vAlign w:val="bottom"/>
            <w:shd w:val="clear" w:color="auto" w:fill="E20074"/>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shd w:val="clear" w:color="auto" w:fill="E20074"/>
          </w:tcPr>
          <w:p>
            <w:pPr>
              <w:spacing w:after="0"/>
              <w:rPr>
                <w:sz w:val="12"/>
                <w:szCs w:val="12"/>
                <w:color w:val="auto"/>
              </w:rPr>
            </w:pPr>
          </w:p>
        </w:tc>
        <w:tc>
          <w:tcPr>
            <w:tcW w:w="1240" w:type="dxa"/>
            <w:vAlign w:val="bottom"/>
            <w:vMerge w:val="continue"/>
            <w:shd w:val="clear" w:color="auto" w:fill="E20074"/>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260" w:type="dxa"/>
            <w:vAlign w:val="bottom"/>
            <w:shd w:val="clear" w:color="auto" w:fill="E20074"/>
          </w:tcPr>
          <w:p>
            <w:pPr>
              <w:jc w:val="center"/>
              <w:ind w:right="108"/>
              <w:spacing w:after="0"/>
              <w:rPr>
                <w:sz w:val="20"/>
                <w:szCs w:val="20"/>
                <w:color w:val="auto"/>
              </w:rPr>
            </w:pPr>
            <w:r>
              <w:rPr>
                <w:rFonts w:ascii="Times New Roman" w:cs="Times New Roman" w:eastAsia="Times New Roman" w:hAnsi="Times New Roman"/>
                <w:sz w:val="14"/>
                <w:szCs w:val="14"/>
                <w:b w:val="1"/>
                <w:bCs w:val="1"/>
                <w:color w:val="FFFFFF"/>
              </w:rPr>
              <w:t>Borrowings</w:t>
            </w: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300" w:type="dxa"/>
            <w:vAlign w:val="bottom"/>
            <w:shd w:val="clear" w:color="auto" w:fill="E20074"/>
          </w:tcPr>
          <w:p>
            <w:pPr>
              <w:jc w:val="center"/>
              <w:ind w:right="68"/>
              <w:spacing w:after="0" w:line="202" w:lineRule="exact"/>
              <w:rPr>
                <w:sz w:val="20"/>
                <w:szCs w:val="20"/>
                <w:color w:val="auto"/>
              </w:rPr>
            </w:pPr>
            <w:r>
              <w:rPr>
                <w:rFonts w:ascii="Times New Roman" w:cs="Times New Roman" w:eastAsia="Times New Roman" w:hAnsi="Times New Roman"/>
                <w:sz w:val="14"/>
                <w:szCs w:val="14"/>
                <w:b w:val="1"/>
                <w:bCs w:val="1"/>
                <w:color w:val="FFFFFF"/>
                <w:w w:val="98"/>
              </w:rPr>
              <w:t xml:space="preserve">Repurchases </w:t>
            </w:r>
            <w:r>
              <w:rPr>
                <w:rFonts w:ascii="Times New Roman" w:cs="Times New Roman" w:eastAsia="Times New Roman" w:hAnsi="Times New Roman"/>
                <w:sz w:val="18"/>
                <w:szCs w:val="18"/>
                <w:b w:val="1"/>
                <w:bCs w:val="1"/>
                <w:color w:val="FFFFFF"/>
                <w:w w:val="98"/>
                <w:vertAlign w:val="superscript"/>
              </w:rPr>
              <w:t>(1)</w:t>
            </w:r>
          </w:p>
        </w:tc>
        <w:tc>
          <w:tcPr>
            <w:tcW w:w="100" w:type="dxa"/>
            <w:vAlign w:val="bottom"/>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138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shd w:val="clear" w:color="auto" w:fill="E20074"/>
          </w:tcPr>
          <w:p>
            <w:pPr>
              <w:spacing w:after="0"/>
              <w:rPr>
                <w:sz w:val="17"/>
                <w:szCs w:val="17"/>
                <w:color w:val="auto"/>
              </w:rPr>
            </w:pPr>
          </w:p>
        </w:tc>
        <w:tc>
          <w:tcPr>
            <w:tcW w:w="400" w:type="dxa"/>
            <w:vAlign w:val="bottom"/>
            <w:shd w:val="clear" w:color="auto" w:fill="E20074"/>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18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5,135</w:t>
            </w:r>
          </w:p>
        </w:tc>
        <w:tc>
          <w:tcPr>
            <w:tcW w:w="26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2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1120" w:type="dxa"/>
            <w:vAlign w:val="bottom"/>
            <w:tcBorders>
              <w:bottom w:val="single" w:sz="8" w:color="DBDBDB"/>
            </w:tcBorders>
            <w:gridSpan w:val="2"/>
            <w:shd w:val="clear" w:color="auto" w:fill="DBDBDB"/>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79,649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77,323</w:t>
            </w:r>
          </w:p>
        </w:tc>
        <w:tc>
          <w:tcPr>
            <w:tcW w:w="0" w:type="dxa"/>
            <w:vAlign w:val="bottom"/>
          </w:tcPr>
          <w:p>
            <w:pPr>
              <w:spacing w:after="0"/>
              <w:rPr>
                <w:sz w:val="1"/>
                <w:szCs w:val="1"/>
                <w:color w:val="auto"/>
              </w:rPr>
            </w:pPr>
          </w:p>
        </w:tc>
      </w:tr>
      <w:tr>
        <w:trPr>
          <w:trHeight w:val="23"/>
        </w:trPr>
        <w:tc>
          <w:tcPr>
            <w:tcW w:w="212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2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Total debt to third parties</w:t>
            </w:r>
          </w:p>
        </w:tc>
        <w:tc>
          <w:tcPr>
            <w:tcW w:w="18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84,784</w:t>
            </w:r>
          </w:p>
        </w:tc>
        <w:tc>
          <w:tcPr>
            <w:tcW w:w="8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(7,677)</w:t>
            </w:r>
          </w:p>
        </w:tc>
        <w:tc>
          <w:tcPr>
            <w:tcW w:w="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83,666</w:t>
            </w:r>
          </w:p>
        </w:tc>
        <w:tc>
          <w:tcPr>
            <w:tcW w:w="0" w:type="dxa"/>
            <w:vAlign w:val="bottom"/>
          </w:tcPr>
          <w:p>
            <w:pPr>
              <w:spacing w:after="0"/>
              <w:rPr>
                <w:sz w:val="1"/>
                <w:szCs w:val="1"/>
                <w:color w:val="auto"/>
              </w:rPr>
            </w:pPr>
          </w:p>
        </w:tc>
      </w:tr>
      <w:tr>
        <w:trPr>
          <w:trHeight w:val="193"/>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to affiliates</w:t>
            </w:r>
          </w:p>
        </w:tc>
        <w:tc>
          <w:tcPr>
            <w:tcW w:w="18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2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120" w:type="dxa"/>
            <w:vAlign w:val="bottom"/>
            <w:tcBorders>
              <w:bottom w:val="single" w:sz="8" w:color="DBDBDB"/>
            </w:tcBorders>
            <w:shd w:val="clear" w:color="auto" w:fill="DBDBDB"/>
          </w:tcPr>
          <w:p>
            <w:pPr>
              <w:ind w:left="480"/>
              <w:spacing w:after="0"/>
              <w:rPr>
                <w:sz w:val="20"/>
                <w:szCs w:val="20"/>
                <w:color w:val="auto"/>
              </w:rPr>
            </w:pPr>
            <w:r>
              <w:rPr>
                <w:rFonts w:ascii="Times New Roman" w:cs="Times New Roman" w:eastAsia="Times New Roman" w:hAnsi="Times New Roman"/>
                <w:sz w:val="14"/>
                <w:szCs w:val="14"/>
                <w:color w:val="auto"/>
              </w:rPr>
              <w:t>Total debt</w:t>
            </w:r>
          </w:p>
        </w:tc>
        <w:tc>
          <w:tcPr>
            <w:tcW w:w="180" w:type="dxa"/>
            <w:vAlign w:val="bottom"/>
            <w:tcBorders>
              <w:bottom w:val="single" w:sz="8" w:color="auto"/>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86,282</w:t>
            </w:r>
          </w:p>
        </w:tc>
        <w:tc>
          <w:tcPr>
            <w:tcW w:w="8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(9,175)</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 redemptions, repurchases and reclassifications are recorded net of accrued or paid issuance costs and discounts.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the amortization of premiums, discounts, debt issuance costs and consent fees and the impact from changes in foreign currency exchange rates.</w:t>
      </w:r>
    </w:p>
    <w:p>
      <w:pPr>
        <w:spacing w:after="0" w:line="2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effective interest rate, excluding the impact of derivatives and capitalized interest, was 4.3% and 4.2% on weighted-average debt outstanding of $84.4 billion and $83.2 billion for the three months ended September 30, 2026 and 2025, respectively, and 4.3% and 4.1% on weighted-average debt outstanding of $85.4 billion and $82.1 billion for the nine months ended September 30, 2026 and 2025, respectively. The weighted-average debt outstanding was calculated by applying an average of the monthly ending balances of total short-term and long-term debt to third parties and short-term and long-term debt to affiliates, net of unamortized premiums, discounts, debt issuance costs and consent fees.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Issuances and Borrowings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issued and borrowed the following debt: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shd w:val="clear" w:color="auto" w:fill="E20074"/>
          </w:tcPr>
          <w:p>
            <w:pPr>
              <w:spacing w:after="0"/>
              <w:rPr>
                <w:sz w:val="13"/>
                <w:szCs w:val="13"/>
                <w:color w:val="auto"/>
              </w:rPr>
            </w:pPr>
          </w:p>
        </w:tc>
        <w:tc>
          <w:tcPr>
            <w:tcW w:w="1480" w:type="dxa"/>
            <w:vAlign w:val="bottom"/>
            <w:vMerge w:val="restart"/>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Principal Issuances</w:t>
            </w:r>
          </w:p>
        </w:tc>
        <w:tc>
          <w:tcPr>
            <w:tcW w:w="100" w:type="dxa"/>
            <w:vAlign w:val="bottom"/>
          </w:tcPr>
          <w:p>
            <w:pPr>
              <w:spacing w:after="0"/>
              <w:rPr>
                <w:sz w:val="13"/>
                <w:szCs w:val="13"/>
                <w:color w:val="auto"/>
              </w:rPr>
            </w:pPr>
          </w:p>
        </w:tc>
        <w:tc>
          <w:tcPr>
            <w:tcW w:w="100" w:type="dxa"/>
            <w:vAlign w:val="bottom"/>
            <w:shd w:val="clear" w:color="auto" w:fill="E20074"/>
          </w:tcPr>
          <w:p>
            <w:pPr>
              <w:spacing w:after="0"/>
              <w:rPr>
                <w:sz w:val="13"/>
                <w:szCs w:val="13"/>
                <w:color w:val="auto"/>
              </w:rPr>
            </w:pPr>
          </w:p>
        </w:tc>
        <w:tc>
          <w:tcPr>
            <w:tcW w:w="1520" w:type="dxa"/>
            <w:vAlign w:val="bottom"/>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Discounts and Issuance</w:t>
            </w:r>
          </w:p>
        </w:tc>
        <w:tc>
          <w:tcPr>
            <w:tcW w:w="120" w:type="dxa"/>
            <w:vAlign w:val="bottom"/>
          </w:tcPr>
          <w:p>
            <w:pPr>
              <w:spacing w:after="0"/>
              <w:rPr>
                <w:sz w:val="13"/>
                <w:szCs w:val="13"/>
                <w:color w:val="auto"/>
              </w:rPr>
            </w:pPr>
          </w:p>
        </w:tc>
        <w:tc>
          <w:tcPr>
            <w:tcW w:w="160" w:type="dxa"/>
            <w:vAlign w:val="bottom"/>
            <w:shd w:val="clear" w:color="auto" w:fill="E20074"/>
          </w:tcPr>
          <w:p>
            <w:pPr>
              <w:spacing w:after="0"/>
              <w:rPr>
                <w:sz w:val="13"/>
                <w:szCs w:val="13"/>
                <w:color w:val="auto"/>
              </w:rPr>
            </w:pPr>
          </w:p>
        </w:tc>
        <w:tc>
          <w:tcPr>
            <w:tcW w:w="1460" w:type="dxa"/>
            <w:vAlign w:val="bottom"/>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Net Proceeds from</w:t>
            </w:r>
          </w:p>
        </w:tc>
        <w:tc>
          <w:tcPr>
            <w:tcW w:w="100" w:type="dxa"/>
            <w:vAlign w:val="bottom"/>
          </w:tcPr>
          <w:p>
            <w:pPr>
              <w:spacing w:after="0"/>
              <w:rPr>
                <w:sz w:val="13"/>
                <w:szCs w:val="13"/>
                <w:color w:val="auto"/>
              </w:rPr>
            </w:pPr>
          </w:p>
        </w:tc>
        <w:tc>
          <w:tcPr>
            <w:tcW w:w="1620" w:type="dxa"/>
            <w:vAlign w:val="bottom"/>
            <w:vMerge w:val="restart"/>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Issue Date</w:t>
            </w:r>
          </w:p>
        </w:tc>
        <w:tc>
          <w:tcPr>
            <w:tcW w:w="0" w:type="dxa"/>
            <w:vAlign w:val="bottom"/>
          </w:tcPr>
          <w:p>
            <w:pPr>
              <w:spacing w:after="0"/>
              <w:rPr>
                <w:sz w:val="1"/>
                <w:szCs w:val="1"/>
                <w:color w:val="auto"/>
              </w:rPr>
            </w:pPr>
          </w:p>
        </w:tc>
      </w:tr>
      <w:tr>
        <w:trPr>
          <w:trHeight w:val="200"/>
        </w:trPr>
        <w:tc>
          <w:tcPr>
            <w:tcW w:w="4440" w:type="dxa"/>
            <w:vAlign w:val="bottom"/>
            <w:gridSpan w:val="2"/>
            <w:vMerge w:val="continue"/>
          </w:tcPr>
          <w:p>
            <w:pPr>
              <w:spacing w:after="0"/>
              <w:rPr>
                <w:sz w:val="17"/>
                <w:szCs w:val="17"/>
                <w:color w:val="auto"/>
              </w:rPr>
            </w:pPr>
          </w:p>
        </w:tc>
        <w:tc>
          <w:tcPr>
            <w:tcW w:w="140" w:type="dxa"/>
            <w:vAlign w:val="bottom"/>
            <w:shd w:val="clear" w:color="auto" w:fill="E20074"/>
          </w:tcPr>
          <w:p>
            <w:pPr>
              <w:spacing w:after="0"/>
              <w:rPr>
                <w:sz w:val="17"/>
                <w:szCs w:val="17"/>
                <w:color w:val="auto"/>
              </w:rPr>
            </w:pPr>
          </w:p>
        </w:tc>
        <w:tc>
          <w:tcPr>
            <w:tcW w:w="148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520" w:type="dxa"/>
            <w:vAlign w:val="bottom"/>
            <w:shd w:val="clear" w:color="auto" w:fill="E20074"/>
          </w:tcPr>
          <w:p>
            <w:pPr>
              <w:jc w:val="right"/>
              <w:ind w:right="568"/>
              <w:spacing w:after="0"/>
              <w:rPr>
                <w:sz w:val="20"/>
                <w:szCs w:val="20"/>
                <w:color w:val="auto"/>
              </w:rPr>
            </w:pPr>
            <w:r>
              <w:rPr>
                <w:rFonts w:ascii="Times New Roman" w:cs="Times New Roman" w:eastAsia="Times New Roman" w:hAnsi="Times New Roman"/>
                <w:sz w:val="14"/>
                <w:szCs w:val="14"/>
                <w:b w:val="1"/>
                <w:bCs w:val="1"/>
                <w:color w:val="FFFFFF"/>
              </w:rPr>
              <w:t>Costs</w:t>
            </w:r>
          </w:p>
        </w:tc>
        <w:tc>
          <w:tcPr>
            <w:tcW w:w="120" w:type="dxa"/>
            <w:vAlign w:val="bottom"/>
          </w:tcPr>
          <w:p>
            <w:pPr>
              <w:spacing w:after="0"/>
              <w:rPr>
                <w:sz w:val="17"/>
                <w:szCs w:val="17"/>
                <w:color w:val="auto"/>
              </w:rPr>
            </w:pPr>
          </w:p>
        </w:tc>
        <w:tc>
          <w:tcPr>
            <w:tcW w:w="160" w:type="dxa"/>
            <w:vAlign w:val="bottom"/>
            <w:shd w:val="clear" w:color="auto" w:fill="E20074"/>
          </w:tcPr>
          <w:p>
            <w:pPr>
              <w:spacing w:after="0"/>
              <w:rPr>
                <w:sz w:val="17"/>
                <w:szCs w:val="17"/>
                <w:color w:val="auto"/>
              </w:rPr>
            </w:pPr>
          </w:p>
        </w:tc>
        <w:tc>
          <w:tcPr>
            <w:tcW w:w="146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Issuance of Debt</w:t>
            </w:r>
          </w:p>
        </w:tc>
        <w:tc>
          <w:tcPr>
            <w:tcW w:w="100" w:type="dxa"/>
            <w:vAlign w:val="bottom"/>
          </w:tcPr>
          <w:p>
            <w:pPr>
              <w:spacing w:after="0"/>
              <w:rPr>
                <w:sz w:val="17"/>
                <w:szCs w:val="17"/>
                <w:color w:val="auto"/>
              </w:rPr>
            </w:pPr>
          </w:p>
        </w:tc>
        <w:tc>
          <w:tcPr>
            <w:tcW w:w="1620" w:type="dxa"/>
            <w:vAlign w:val="bottom"/>
            <w:vMerge w:val="continue"/>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5.000%</w:t>
            </w:r>
          </w:p>
        </w:tc>
        <w:tc>
          <w:tcPr>
            <w:tcW w:w="39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Senior Notes due 2036</w:t>
            </w:r>
          </w:p>
        </w:tc>
        <w:tc>
          <w:tcPr>
            <w:tcW w:w="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0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Borders>
              <w:bottom w:val="single" w:sz="8" w:color="DDDDDD"/>
            </w:tcBorders>
            <w:gridSpan w:val="2"/>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Borders>
              <w:bottom w:val="single" w:sz="8" w:color="DDDDDD"/>
            </w:tcBorders>
            <w:shd w:val="clear" w:color="auto" w:fill="DDDDDD"/>
          </w:tcPr>
          <w:p>
            <w:pPr>
              <w:spacing w:after="0"/>
              <w:rPr>
                <w:sz w:val="18"/>
                <w:szCs w:val="18"/>
                <w:color w:val="auto"/>
              </w:rPr>
            </w:pPr>
          </w:p>
        </w:tc>
        <w:tc>
          <w:tcPr>
            <w:tcW w:w="162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rPr>
              <w:t>January 12, 2026</w:t>
            </w:r>
          </w:p>
        </w:tc>
        <w:tc>
          <w:tcPr>
            <w:tcW w:w="0" w:type="dxa"/>
            <w:vAlign w:val="bottom"/>
          </w:tcPr>
          <w:p>
            <w:pPr>
              <w:spacing w:after="0"/>
              <w:rPr>
                <w:sz w:val="1"/>
                <w:szCs w:val="1"/>
                <w:color w:val="auto"/>
              </w:rPr>
            </w:pPr>
          </w:p>
        </w:tc>
      </w:tr>
      <w:tr>
        <w:trPr>
          <w:trHeight w:val="193"/>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5.850%</w:t>
            </w: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2056</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12, 2026</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3.200%</w:t>
            </w:r>
          </w:p>
        </w:tc>
        <w:tc>
          <w:tcPr>
            <w:tcW w:w="39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Senior Notes due 2032 (EUR-denominated)</w:t>
            </w:r>
          </w:p>
        </w:tc>
        <w:tc>
          <w:tcPr>
            <w:tcW w:w="140" w:type="dxa"/>
            <w:vAlign w:val="bottom"/>
            <w:tcBorders>
              <w:bottom w:val="single" w:sz="8" w:color="DDDDDD"/>
            </w:tcBorders>
            <w:shd w:val="clear" w:color="auto" w:fill="DDDDDD"/>
          </w:tcPr>
          <w:p>
            <w:pPr>
              <w:spacing w:after="0"/>
              <w:rPr>
                <w:sz w:val="17"/>
                <w:szCs w:val="17"/>
                <w:color w:val="auto"/>
              </w:rPr>
            </w:pPr>
          </w:p>
        </w:tc>
        <w:tc>
          <w:tcPr>
            <w:tcW w:w="14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DDDDDD"/>
            </w:tcBorders>
            <w:shd w:val="clear" w:color="auto" w:fill="DDDDDD"/>
          </w:tcPr>
          <w:p>
            <w:pPr>
              <w:spacing w:after="0"/>
              <w:rPr>
                <w:sz w:val="17"/>
                <w:szCs w:val="17"/>
                <w:color w:val="auto"/>
              </w:rPr>
            </w:pPr>
          </w:p>
        </w:tc>
        <w:tc>
          <w:tcPr>
            <w:tcW w:w="160" w:type="dxa"/>
            <w:vAlign w:val="bottom"/>
            <w:tcBorders>
              <w:bottom w:val="single" w:sz="8" w:color="DDDDDD"/>
            </w:tcBorders>
            <w:shd w:val="clear" w:color="auto" w:fill="DDDDDD"/>
          </w:tcPr>
          <w:p>
            <w:pPr>
              <w:spacing w:after="0"/>
              <w:rPr>
                <w:sz w:val="17"/>
                <w:szCs w:val="17"/>
                <w:color w:val="auto"/>
              </w:rPr>
            </w:pPr>
          </w:p>
        </w:tc>
        <w:tc>
          <w:tcPr>
            <w:tcW w:w="14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Borders>
              <w:bottom w:val="single" w:sz="8" w:color="DDDDDD"/>
            </w:tcBorders>
            <w:shd w:val="clear" w:color="auto" w:fill="DDDDDD"/>
          </w:tcPr>
          <w:p>
            <w:pPr>
              <w:spacing w:after="0"/>
              <w:rPr>
                <w:sz w:val="17"/>
                <w:szCs w:val="17"/>
                <w:color w:val="auto"/>
              </w:rPr>
            </w:pPr>
          </w:p>
        </w:tc>
        <w:tc>
          <w:tcPr>
            <w:tcW w:w="162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c>
          <w:tcPr>
            <w:tcW w:w="0" w:type="dxa"/>
            <w:vAlign w:val="bottom"/>
          </w:tcPr>
          <w:p>
            <w:pPr>
              <w:spacing w:after="0"/>
              <w:rPr>
                <w:sz w:val="1"/>
                <w:szCs w:val="1"/>
                <w:color w:val="auto"/>
              </w:rPr>
            </w:pPr>
          </w:p>
        </w:tc>
      </w:tr>
      <w:tr>
        <w:trPr>
          <w:trHeight w:val="193"/>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3.625%</w:t>
            </w: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2035 (EUR-denominated)</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3.900%</w:t>
            </w:r>
          </w:p>
        </w:tc>
        <w:tc>
          <w:tcPr>
            <w:tcW w:w="39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Senior Notes due 2038 (EUR-denominated)</w:t>
            </w:r>
          </w:p>
        </w:tc>
        <w:tc>
          <w:tcPr>
            <w:tcW w:w="140" w:type="dxa"/>
            <w:vAlign w:val="bottom"/>
            <w:tcBorders>
              <w:bottom w:val="single" w:sz="8" w:color="DDDDDD"/>
            </w:tcBorders>
            <w:shd w:val="clear" w:color="auto" w:fill="DDDDDD"/>
          </w:tcPr>
          <w:p>
            <w:pPr>
              <w:spacing w:after="0"/>
              <w:rPr>
                <w:sz w:val="18"/>
                <w:szCs w:val="18"/>
                <w:color w:val="auto"/>
              </w:rPr>
            </w:pPr>
          </w:p>
        </w:tc>
        <w:tc>
          <w:tcPr>
            <w:tcW w:w="14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Borders>
              <w:bottom w:val="single" w:sz="8" w:color="DDDDDD"/>
            </w:tcBorders>
            <w:shd w:val="clear" w:color="auto" w:fill="DDDDDD"/>
          </w:tcPr>
          <w:p>
            <w:pPr>
              <w:spacing w:after="0"/>
              <w:rPr>
                <w:sz w:val="18"/>
                <w:szCs w:val="18"/>
                <w:color w:val="auto"/>
              </w:rPr>
            </w:pPr>
          </w:p>
        </w:tc>
        <w:tc>
          <w:tcPr>
            <w:tcW w:w="162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c>
          <w:tcPr>
            <w:tcW w:w="0" w:type="dxa"/>
            <w:vAlign w:val="bottom"/>
          </w:tcPr>
          <w:p>
            <w:pPr>
              <w:spacing w:after="0"/>
              <w:rPr>
                <w:sz w:val="1"/>
                <w:szCs w:val="1"/>
                <w:color w:val="auto"/>
              </w:rPr>
            </w:pPr>
          </w:p>
        </w:tc>
      </w:tr>
      <w:tr>
        <w:trPr>
          <w:trHeight w:val="186"/>
        </w:trPr>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of Senior Notes issued</w:t>
            </w: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4,899</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 w:type="dxa"/>
            <w:vAlign w:val="bottom"/>
            <w:tcBorders>
              <w:bottom w:val="single" w:sz="8" w:color="DDDDDD"/>
            </w:tcBorders>
          </w:tcPr>
          <w:p>
            <w:pPr>
              <w:spacing w:after="0"/>
              <w:rPr>
                <w:sz w:val="2"/>
                <w:szCs w:val="2"/>
                <w:color w:val="auto"/>
              </w:rPr>
            </w:pPr>
          </w:p>
        </w:tc>
        <w:tc>
          <w:tcPr>
            <w:tcW w:w="396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6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4.250%</w:t>
            </w:r>
          </w:p>
        </w:tc>
        <w:tc>
          <w:tcPr>
            <w:tcW w:w="39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Class A Senior ABS Notes due 2030</w:t>
            </w:r>
          </w:p>
        </w:tc>
        <w:tc>
          <w:tcPr>
            <w:tcW w:w="140" w:type="dxa"/>
            <w:vAlign w:val="bottom"/>
            <w:tcBorders>
              <w:bottom w:val="single" w:sz="8" w:color="DDDDDD"/>
            </w:tcBorders>
            <w:shd w:val="clear" w:color="auto" w:fill="DDDDDD"/>
          </w:tcPr>
          <w:p>
            <w:pPr>
              <w:spacing w:after="0"/>
              <w:rPr>
                <w:sz w:val="16"/>
                <w:szCs w:val="16"/>
                <w:color w:val="auto"/>
              </w:rPr>
            </w:pPr>
          </w:p>
        </w:tc>
        <w:tc>
          <w:tcPr>
            <w:tcW w:w="14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DDDDDD"/>
            </w:tcBorders>
            <w:shd w:val="clear" w:color="auto" w:fill="DDDDDD"/>
          </w:tcPr>
          <w:p>
            <w:pPr>
              <w:spacing w:after="0"/>
              <w:rPr>
                <w:sz w:val="16"/>
                <w:szCs w:val="16"/>
                <w:color w:val="auto"/>
              </w:rPr>
            </w:pPr>
          </w:p>
        </w:tc>
        <w:tc>
          <w:tcPr>
            <w:tcW w:w="14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bottom w:val="single" w:sz="8" w:color="DDDDDD"/>
            </w:tcBorders>
            <w:shd w:val="clear" w:color="auto" w:fill="DDDDDD"/>
          </w:tcPr>
          <w:p>
            <w:pPr>
              <w:spacing w:after="0"/>
              <w:rPr>
                <w:sz w:val="16"/>
                <w:szCs w:val="16"/>
                <w:color w:val="auto"/>
              </w:rPr>
            </w:pPr>
          </w:p>
        </w:tc>
        <w:tc>
          <w:tcPr>
            <w:tcW w:w="162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rPr>
              <w:t>March 20, 2026</w:t>
            </w:r>
          </w:p>
        </w:tc>
        <w:tc>
          <w:tcPr>
            <w:tcW w:w="0" w:type="dxa"/>
            <w:vAlign w:val="bottom"/>
          </w:tcPr>
          <w:p>
            <w:pPr>
              <w:spacing w:after="0"/>
              <w:rPr>
                <w:sz w:val="1"/>
                <w:szCs w:val="1"/>
                <w:color w:val="auto"/>
              </w:rPr>
            </w:pPr>
          </w:p>
        </w:tc>
      </w:tr>
      <w:tr>
        <w:trPr>
          <w:trHeight w:val="193"/>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4.740%</w:t>
            </w: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Senior ABS Notes due 2031</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14, 2026</w:t>
            </w:r>
          </w:p>
        </w:tc>
        <w:tc>
          <w:tcPr>
            <w:tcW w:w="0" w:type="dxa"/>
            <w:vAlign w:val="bottom"/>
          </w:tcPr>
          <w:p>
            <w:pPr>
              <w:spacing w:after="0"/>
              <w:rPr>
                <w:sz w:val="1"/>
                <w:szCs w:val="1"/>
                <w:color w:val="auto"/>
              </w:rPr>
            </w:pPr>
          </w:p>
        </w:tc>
      </w:tr>
      <w:tr>
        <w:trPr>
          <w:trHeight w:val="23"/>
        </w:trPr>
        <w:tc>
          <w:tcPr>
            <w:tcW w:w="4440" w:type="dxa"/>
            <w:vAlign w:val="bottom"/>
            <w:tcBorders>
              <w:bottom w:val="single" w:sz="8" w:color="DDDDDD"/>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6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Total of ABS Notes issued</w:t>
            </w:r>
          </w:p>
        </w:tc>
        <w:tc>
          <w:tcPr>
            <w:tcW w:w="140" w:type="dxa"/>
            <w:vAlign w:val="bottom"/>
            <w:tcBorders>
              <w:bottom w:val="single" w:sz="8" w:color="DDDDDD"/>
            </w:tcBorders>
            <w:shd w:val="clear" w:color="auto" w:fill="DDDDDD"/>
          </w:tcPr>
          <w:p>
            <w:pPr>
              <w:spacing w:after="0"/>
              <w:rPr>
                <w:sz w:val="18"/>
                <w:szCs w:val="18"/>
                <w:color w:val="auto"/>
              </w:rPr>
            </w:pPr>
          </w:p>
        </w:tc>
        <w:tc>
          <w:tcPr>
            <w:tcW w:w="14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Borders>
              <w:bottom w:val="single" w:sz="8" w:color="DDDDDD"/>
            </w:tcBorders>
            <w:shd w:val="clear" w:color="auto" w:fill="DDDDDD"/>
          </w:tcPr>
          <w:p>
            <w:pPr>
              <w:spacing w:after="0"/>
              <w:rPr>
                <w:sz w:val="18"/>
                <w:szCs w:val="18"/>
                <w:color w:val="auto"/>
              </w:rPr>
            </w:pPr>
          </w:p>
        </w:tc>
        <w:tc>
          <w:tcPr>
            <w:tcW w:w="16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4.557%</w:t>
            </w: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MRFA due 2027</w:t>
            </w: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5, 2026</w:t>
            </w:r>
          </w:p>
        </w:tc>
        <w:tc>
          <w:tcPr>
            <w:tcW w:w="0" w:type="dxa"/>
            <w:vAlign w:val="bottom"/>
          </w:tcPr>
          <w:p>
            <w:pPr>
              <w:spacing w:after="0"/>
              <w:rPr>
                <w:sz w:val="1"/>
                <w:szCs w:val="1"/>
                <w:color w:val="auto"/>
              </w:rPr>
            </w:pPr>
          </w:p>
        </w:tc>
      </w:tr>
      <w:tr>
        <w:trPr>
          <w:trHeight w:val="23"/>
        </w:trPr>
        <w:tc>
          <w:tcPr>
            <w:tcW w:w="4440" w:type="dxa"/>
            <w:vAlign w:val="bottom"/>
            <w:tcBorders>
              <w:bottom w:val="single" w:sz="8" w:color="DDDDDD"/>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6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Total borrowings</w:t>
            </w:r>
          </w:p>
        </w:tc>
        <w:tc>
          <w:tcPr>
            <w:tcW w:w="140" w:type="dxa"/>
            <w:vAlign w:val="bottom"/>
            <w:tcBorders>
              <w:bottom w:val="single" w:sz="8" w:color="DDDDDD"/>
            </w:tcBorders>
            <w:shd w:val="clear" w:color="auto" w:fill="DDDDDD"/>
          </w:tcPr>
          <w:p>
            <w:pPr>
              <w:spacing w:after="0"/>
              <w:rPr>
                <w:sz w:val="18"/>
                <w:szCs w:val="18"/>
                <w:color w:val="auto"/>
              </w:rPr>
            </w:pPr>
          </w:p>
        </w:tc>
        <w:tc>
          <w:tcPr>
            <w:tcW w:w="14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Borders>
              <w:bottom w:val="single" w:sz="8" w:color="DDDDDD"/>
            </w:tcBorders>
            <w:shd w:val="clear" w:color="auto" w:fill="DDDDDD"/>
          </w:tcPr>
          <w:p>
            <w:pPr>
              <w:spacing w:after="0"/>
              <w:rPr>
                <w:sz w:val="18"/>
                <w:szCs w:val="18"/>
                <w:color w:val="auto"/>
              </w:rPr>
            </w:pPr>
          </w:p>
        </w:tc>
        <w:tc>
          <w:tcPr>
            <w:tcW w:w="16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issuances and borrowings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6,891</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 Repayments and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made the following redemptions, repayments and repurchases: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shd w:val="clear" w:color="auto" w:fill="E20074"/>
          </w:tcPr>
          <w:p>
            <w:pPr>
              <w:spacing w:after="0"/>
              <w:rPr>
                <w:sz w:val="13"/>
                <w:szCs w:val="13"/>
                <w:color w:val="auto"/>
              </w:rPr>
            </w:pPr>
          </w:p>
        </w:tc>
        <w:tc>
          <w:tcPr>
            <w:tcW w:w="1400" w:type="dxa"/>
            <w:vAlign w:val="bottom"/>
            <w:shd w:val="clear" w:color="auto" w:fill="E20074"/>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Write-off of Premium,</w:t>
            </w:r>
          </w:p>
        </w:tc>
        <w:tc>
          <w:tcPr>
            <w:tcW w:w="120" w:type="dxa"/>
            <w:vAlign w:val="bottom"/>
          </w:tcPr>
          <w:p>
            <w:pPr>
              <w:spacing w:after="0"/>
              <w:rPr>
                <w:sz w:val="13"/>
                <w:szCs w:val="13"/>
                <w:color w:val="auto"/>
              </w:rPr>
            </w:pPr>
          </w:p>
        </w:tc>
        <w:tc>
          <w:tcPr>
            <w:tcW w:w="1560" w:type="dxa"/>
            <w:vAlign w:val="bottom"/>
            <w:shd w:val="clear" w:color="auto" w:fill="E20074"/>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shd w:val="clear" w:color="auto" w:fill="E20074"/>
          </w:tcPr>
          <w:p>
            <w:pPr>
              <w:spacing w:after="0"/>
              <w:rPr>
                <w:sz w:val="13"/>
                <w:szCs w:val="13"/>
                <w:color w:val="auto"/>
              </w:rPr>
            </w:pPr>
          </w:p>
        </w:tc>
        <w:tc>
          <w:tcPr>
            <w:tcW w:w="1500" w:type="dxa"/>
            <w:vAlign w:val="bottom"/>
            <w:shd w:val="clear" w:color="auto" w:fill="E20074"/>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shd w:val="clear" w:color="auto" w:fill="E20074"/>
          </w:tcPr>
          <w:p>
            <w:pPr>
              <w:spacing w:after="0"/>
              <w:rPr>
                <w:sz w:val="11"/>
                <w:szCs w:val="11"/>
                <w:color w:val="auto"/>
              </w:rPr>
            </w:pPr>
          </w:p>
        </w:tc>
        <w:tc>
          <w:tcPr>
            <w:tcW w:w="1400" w:type="dxa"/>
            <w:vAlign w:val="bottom"/>
            <w:shd w:val="clear" w:color="auto" w:fill="E20074"/>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shd w:val="clear" w:color="auto" w:fill="E20074"/>
          </w:tcPr>
          <w:p>
            <w:pPr>
              <w:spacing w:after="0"/>
              <w:rPr>
                <w:sz w:val="11"/>
                <w:szCs w:val="11"/>
                <w:color w:val="auto"/>
              </w:rPr>
            </w:pPr>
          </w:p>
        </w:tc>
        <w:tc>
          <w:tcPr>
            <w:tcW w:w="1380" w:type="dxa"/>
            <w:vAlign w:val="bottom"/>
            <w:shd w:val="clear" w:color="auto" w:fill="E20074"/>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FFFFFF"/>
              </w:rPr>
              <w:t>Discount, Fees and</w:t>
            </w:r>
          </w:p>
        </w:tc>
        <w:tc>
          <w:tcPr>
            <w:tcW w:w="120" w:type="dxa"/>
            <w:vAlign w:val="bottom"/>
          </w:tcPr>
          <w:p>
            <w:pPr>
              <w:spacing w:after="0"/>
              <w:rPr>
                <w:sz w:val="11"/>
                <w:szCs w:val="11"/>
                <w:color w:val="auto"/>
              </w:rPr>
            </w:pPr>
          </w:p>
        </w:tc>
        <w:tc>
          <w:tcPr>
            <w:tcW w:w="1560" w:type="dxa"/>
            <w:vAlign w:val="bottom"/>
            <w:shd w:val="clear" w:color="auto" w:fill="E20074"/>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shd w:val="clear" w:color="auto" w:fill="E20074"/>
          </w:tcPr>
          <w:p>
            <w:pPr>
              <w:spacing w:after="0"/>
              <w:rPr>
                <w:sz w:val="11"/>
                <w:szCs w:val="11"/>
                <w:color w:val="auto"/>
              </w:rPr>
            </w:pPr>
          </w:p>
        </w:tc>
        <w:tc>
          <w:tcPr>
            <w:tcW w:w="1500" w:type="dxa"/>
            <w:vAlign w:val="bottom"/>
            <w:shd w:val="clear" w:color="auto" w:fill="E20074"/>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E20074"/>
          </w:tcPr>
          <w:p>
            <w:pPr>
              <w:spacing w:after="0"/>
              <w:rPr>
                <w:sz w:val="13"/>
                <w:szCs w:val="13"/>
                <w:color w:val="auto"/>
              </w:rPr>
            </w:pPr>
          </w:p>
        </w:tc>
        <w:tc>
          <w:tcPr>
            <w:tcW w:w="1400" w:type="dxa"/>
            <w:vAlign w:val="bottom"/>
            <w:vMerge w:val="restart"/>
            <w:shd w:val="clear" w:color="auto" w:fill="E20074"/>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Principal Amount</w:t>
            </w:r>
          </w:p>
        </w:tc>
        <w:tc>
          <w:tcPr>
            <w:tcW w:w="100" w:type="dxa"/>
            <w:vAlign w:val="bottom"/>
          </w:tcPr>
          <w:p>
            <w:pPr>
              <w:spacing w:after="0"/>
              <w:rPr>
                <w:sz w:val="13"/>
                <w:szCs w:val="13"/>
                <w:color w:val="auto"/>
              </w:rPr>
            </w:pPr>
          </w:p>
        </w:tc>
        <w:tc>
          <w:tcPr>
            <w:tcW w:w="120" w:type="dxa"/>
            <w:vAlign w:val="bottom"/>
            <w:shd w:val="clear" w:color="auto" w:fill="E20074"/>
          </w:tcPr>
          <w:p>
            <w:pPr>
              <w:spacing w:after="0"/>
              <w:rPr>
                <w:sz w:val="13"/>
                <w:szCs w:val="13"/>
                <w:color w:val="auto"/>
              </w:rPr>
            </w:pPr>
          </w:p>
        </w:tc>
        <w:tc>
          <w:tcPr>
            <w:tcW w:w="1380" w:type="dxa"/>
            <w:vAlign w:val="bottom"/>
            <w:shd w:val="clear" w:color="auto" w:fill="E20074"/>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FFFFFF"/>
              </w:rPr>
              <w:t>Repurchase Gains /</w:t>
            </w:r>
          </w:p>
        </w:tc>
        <w:tc>
          <w:tcPr>
            <w:tcW w:w="120" w:type="dxa"/>
            <w:vAlign w:val="bottom"/>
          </w:tcPr>
          <w:p>
            <w:pPr>
              <w:spacing w:after="0"/>
              <w:rPr>
                <w:sz w:val="13"/>
                <w:szCs w:val="13"/>
                <w:color w:val="auto"/>
              </w:rPr>
            </w:pPr>
          </w:p>
        </w:tc>
        <w:tc>
          <w:tcPr>
            <w:tcW w:w="1560" w:type="dxa"/>
            <w:vAlign w:val="bottom"/>
            <w:shd w:val="clear" w:color="auto" w:fill="E2007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FFFFFF"/>
              </w:rPr>
              <w:t>Redemption, Repayment</w:t>
            </w:r>
          </w:p>
        </w:tc>
        <w:tc>
          <w:tcPr>
            <w:tcW w:w="100" w:type="dxa"/>
            <w:vAlign w:val="bottom"/>
          </w:tcPr>
          <w:p>
            <w:pPr>
              <w:spacing w:after="0"/>
              <w:rPr>
                <w:sz w:val="13"/>
                <w:szCs w:val="13"/>
                <w:color w:val="auto"/>
              </w:rPr>
            </w:pPr>
          </w:p>
        </w:tc>
        <w:tc>
          <w:tcPr>
            <w:tcW w:w="200" w:type="dxa"/>
            <w:vAlign w:val="bottom"/>
            <w:shd w:val="clear" w:color="auto" w:fill="E20074"/>
          </w:tcPr>
          <w:p>
            <w:pPr>
              <w:spacing w:after="0"/>
              <w:rPr>
                <w:sz w:val="13"/>
                <w:szCs w:val="13"/>
                <w:color w:val="auto"/>
              </w:rPr>
            </w:pPr>
          </w:p>
        </w:tc>
        <w:tc>
          <w:tcPr>
            <w:tcW w:w="1500" w:type="dxa"/>
            <w:vAlign w:val="bottom"/>
            <w:shd w:val="clear" w:color="auto" w:fill="E20074"/>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FFFFFF"/>
              </w:rPr>
              <w:t>Redemption or</w:t>
            </w:r>
          </w:p>
        </w:tc>
        <w:tc>
          <w:tcPr>
            <w:tcW w:w="0" w:type="dxa"/>
            <w:vAlign w:val="bottom"/>
          </w:tcPr>
          <w:p>
            <w:pPr>
              <w:spacing w:after="0"/>
              <w:rPr>
                <w:sz w:val="1"/>
                <w:szCs w:val="1"/>
                <w:color w:val="auto"/>
              </w:rPr>
            </w:pPr>
          </w:p>
        </w:tc>
      </w:tr>
      <w:tr>
        <w:trPr>
          <w:trHeight w:val="203"/>
        </w:trPr>
        <w:tc>
          <w:tcPr>
            <w:tcW w:w="4280" w:type="dxa"/>
            <w:vAlign w:val="bottom"/>
            <w:gridSpan w:val="2"/>
            <w:vMerge w:val="continue"/>
          </w:tcPr>
          <w:p>
            <w:pPr>
              <w:spacing w:after="0"/>
              <w:rPr>
                <w:sz w:val="17"/>
                <w:szCs w:val="17"/>
                <w:color w:val="auto"/>
              </w:rPr>
            </w:pPr>
          </w:p>
        </w:tc>
        <w:tc>
          <w:tcPr>
            <w:tcW w:w="160" w:type="dxa"/>
            <w:vAlign w:val="bottom"/>
            <w:shd w:val="clear" w:color="auto" w:fill="E20074"/>
          </w:tcPr>
          <w:p>
            <w:pPr>
              <w:spacing w:after="0"/>
              <w:rPr>
                <w:sz w:val="17"/>
                <w:szCs w:val="17"/>
                <w:color w:val="auto"/>
              </w:rPr>
            </w:pPr>
          </w:p>
        </w:tc>
        <w:tc>
          <w:tcPr>
            <w:tcW w:w="140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E20074"/>
          </w:tcPr>
          <w:p>
            <w:pPr>
              <w:spacing w:after="0"/>
              <w:rPr>
                <w:sz w:val="17"/>
                <w:szCs w:val="17"/>
                <w:color w:val="auto"/>
              </w:rPr>
            </w:pPr>
          </w:p>
        </w:tc>
        <w:tc>
          <w:tcPr>
            <w:tcW w:w="1380" w:type="dxa"/>
            <w:vAlign w:val="bottom"/>
            <w:shd w:val="clear" w:color="auto" w:fill="E20074"/>
          </w:tcPr>
          <w:p>
            <w:pPr>
              <w:jc w:val="center"/>
              <w:ind w:right="48"/>
              <w:spacing w:after="0" w:line="202" w:lineRule="exact"/>
              <w:rPr>
                <w:sz w:val="20"/>
                <w:szCs w:val="20"/>
                <w:color w:val="auto"/>
              </w:rPr>
            </w:pPr>
            <w:r>
              <w:rPr>
                <w:rFonts w:ascii="Times New Roman" w:cs="Times New Roman" w:eastAsia="Times New Roman" w:hAnsi="Times New Roman"/>
                <w:sz w:val="14"/>
                <w:szCs w:val="14"/>
                <w:b w:val="1"/>
                <w:bCs w:val="1"/>
                <w:color w:val="FFFFFF"/>
                <w:w w:val="95"/>
              </w:rPr>
              <w:t xml:space="preserve">Losses </w:t>
            </w:r>
            <w:r>
              <w:rPr>
                <w:rFonts w:ascii="Times New Roman" w:cs="Times New Roman" w:eastAsia="Times New Roman" w:hAnsi="Times New Roman"/>
                <w:sz w:val="18"/>
                <w:szCs w:val="18"/>
                <w:b w:val="1"/>
                <w:bCs w:val="1"/>
                <w:color w:val="FFFFFF"/>
                <w:w w:val="95"/>
                <w:vertAlign w:val="superscript"/>
              </w:rPr>
              <w:t>(1)</w:t>
            </w:r>
          </w:p>
        </w:tc>
        <w:tc>
          <w:tcPr>
            <w:tcW w:w="120" w:type="dxa"/>
            <w:vAlign w:val="bottom"/>
          </w:tcPr>
          <w:p>
            <w:pPr>
              <w:spacing w:after="0"/>
              <w:rPr>
                <w:sz w:val="17"/>
                <w:szCs w:val="17"/>
                <w:color w:val="auto"/>
              </w:rPr>
            </w:pPr>
          </w:p>
        </w:tc>
        <w:tc>
          <w:tcPr>
            <w:tcW w:w="156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or Repurchase Date</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50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Repurchase Price</w:t>
            </w:r>
          </w:p>
        </w:tc>
        <w:tc>
          <w:tcPr>
            <w:tcW w:w="0" w:type="dxa"/>
            <w:vAlign w:val="bottom"/>
          </w:tcPr>
          <w:p>
            <w:pPr>
              <w:spacing w:after="0"/>
              <w:rPr>
                <w:sz w:val="1"/>
                <w:szCs w:val="1"/>
                <w:color w:val="auto"/>
              </w:rPr>
            </w:pPr>
          </w:p>
        </w:tc>
      </w:tr>
      <w:tr>
        <w:trPr>
          <w:trHeight w:val="210"/>
        </w:trPr>
        <w:tc>
          <w:tcPr>
            <w:tcW w:w="4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4.750%</w:t>
            </w:r>
          </w:p>
        </w:tc>
        <w:tc>
          <w:tcPr>
            <w:tcW w:w="38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rPr>
              <w:t>February 1, 2026</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5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3"/>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4.750%</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to affiliates due 2028</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 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1.500%</w:t>
            </w:r>
          </w:p>
        </w:tc>
        <w:tc>
          <w:tcPr>
            <w:tcW w:w="38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60" w:type="dxa"/>
            <w:vAlign w:val="bottom"/>
            <w:tcBorders>
              <w:bottom w:val="single" w:sz="8" w:color="DDDDDD"/>
            </w:tcBorders>
            <w:shd w:val="clear" w:color="auto" w:fill="DDDDDD"/>
          </w:tcPr>
          <w:p>
            <w:pPr>
              <w:spacing w:after="0"/>
              <w:rPr>
                <w:sz w:val="17"/>
                <w:szCs w:val="17"/>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56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rPr>
              <w:t>February 15, 2026</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5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2.250%</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Borders>
              <w:bottom w:val="single" w:sz="8" w:color="DDDDDD"/>
            </w:tcBorders>
            <w:gridSpan w:val="2"/>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5.050% Class A Senior ABS Notes due 2029</w:t>
            </w:r>
          </w:p>
        </w:tc>
        <w:tc>
          <w:tcPr>
            <w:tcW w:w="160" w:type="dxa"/>
            <w:vAlign w:val="bottom"/>
            <w:tcBorders>
              <w:bottom w:val="single" w:sz="8" w:color="DDDDDD"/>
            </w:tcBorders>
            <w:shd w:val="clear" w:color="auto" w:fill="DDDDDD"/>
          </w:tcPr>
          <w:p>
            <w:pPr>
              <w:spacing w:after="0"/>
              <w:rPr>
                <w:sz w:val="17"/>
                <w:szCs w:val="17"/>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56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rPr>
              <w:t>March 20, 2026</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5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3"/>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2.625%</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15, 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280" w:type="dxa"/>
            <w:vAlign w:val="bottom"/>
            <w:tcBorders>
              <w:bottom w:val="single" w:sz="8" w:color="DDDDDD"/>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56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DDDDDD"/>
            </w:tcBorders>
          </w:tcPr>
          <w:p>
            <w:pPr>
              <w:spacing w:after="0"/>
              <w:rPr>
                <w:sz w:val="2"/>
                <w:szCs w:val="2"/>
                <w:color w:val="auto"/>
              </w:rPr>
            </w:pPr>
          </w:p>
        </w:tc>
        <w:tc>
          <w:tcPr>
            <w:tcW w:w="15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DDDDDD"/>
            </w:tcBorders>
            <w:gridSpan w:val="2"/>
            <w:shd w:val="clear" w:color="auto" w:fill="DDDDDD"/>
          </w:tcPr>
          <w:p>
            <w:pPr>
              <w:ind w:left="240"/>
              <w:spacing w:after="0"/>
              <w:rPr>
                <w:sz w:val="20"/>
                <w:szCs w:val="20"/>
                <w:color w:val="auto"/>
              </w:rPr>
            </w:pPr>
            <w:r>
              <w:rPr>
                <w:rFonts w:ascii="Times New Roman" w:cs="Times New Roman" w:eastAsia="Times New Roman" w:hAnsi="Times New Roman"/>
                <w:sz w:val="14"/>
                <w:szCs w:val="14"/>
                <w:color w:val="auto"/>
              </w:rPr>
              <w:t>Total redemptions</w:t>
            </w:r>
          </w:p>
        </w:tc>
        <w:tc>
          <w:tcPr>
            <w:tcW w:w="160" w:type="dxa"/>
            <w:vAlign w:val="bottom"/>
            <w:tcBorders>
              <w:bottom w:val="single" w:sz="8" w:color="DDDDDD"/>
            </w:tcBorders>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50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ECA Facility due March 2036</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5.152%</w:t>
            </w:r>
          </w:p>
        </w:tc>
        <w:tc>
          <w:tcPr>
            <w:tcW w:w="38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Series 2018-1 A-2 Notes due 2028</w:t>
            </w:r>
          </w:p>
        </w:tc>
        <w:tc>
          <w:tcPr>
            <w:tcW w:w="160" w:type="dxa"/>
            <w:vAlign w:val="bottom"/>
            <w:tcBorders>
              <w:bottom w:val="single" w:sz="8" w:color="DDDDDD"/>
            </w:tcBorders>
            <w:shd w:val="clear" w:color="auto" w:fill="DDDDDD"/>
          </w:tcPr>
          <w:p>
            <w:pPr>
              <w:spacing w:after="0"/>
              <w:rPr>
                <w:sz w:val="17"/>
                <w:szCs w:val="17"/>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7"/>
                <w:szCs w:val="17"/>
                <w:color w:val="auto"/>
              </w:rPr>
            </w:pPr>
          </w:p>
        </w:tc>
        <w:tc>
          <w:tcPr>
            <w:tcW w:w="156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00" w:type="dxa"/>
            <w:vAlign w:val="bottom"/>
            <w:tcBorders>
              <w:bottom w:val="single" w:sz="8" w:color="DDDDDD"/>
            </w:tcBorders>
            <w:shd w:val="clear" w:color="auto" w:fill="DDDDDD"/>
          </w:tcPr>
          <w:p>
            <w:pPr>
              <w:spacing w:after="0"/>
              <w:rPr>
                <w:sz w:val="17"/>
                <w:szCs w:val="17"/>
                <w:color w:val="auto"/>
              </w:rPr>
            </w:pPr>
          </w:p>
        </w:tc>
        <w:tc>
          <w:tcPr>
            <w:tcW w:w="200" w:type="dxa"/>
            <w:vAlign w:val="bottom"/>
            <w:tcBorders>
              <w:bottom w:val="single" w:sz="8" w:color="DDDDDD"/>
            </w:tcBorders>
            <w:shd w:val="clear" w:color="auto" w:fill="DDDDDD"/>
          </w:tcPr>
          <w:p>
            <w:pPr>
              <w:spacing w:after="0"/>
              <w:rPr>
                <w:sz w:val="17"/>
                <w:szCs w:val="17"/>
                <w:color w:val="auto"/>
              </w:rPr>
            </w:pPr>
          </w:p>
        </w:tc>
        <w:tc>
          <w:tcPr>
            <w:tcW w:w="15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ECA Facility due November 2036</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3"/>
        </w:trPr>
        <w:tc>
          <w:tcPr>
            <w:tcW w:w="4280" w:type="dxa"/>
            <w:vAlign w:val="bottom"/>
            <w:tcBorders>
              <w:bottom w:val="single" w:sz="8" w:color="DDDDDD"/>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156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00" w:type="dxa"/>
            <w:vAlign w:val="bottom"/>
            <w:tcBorders>
              <w:bottom w:val="single" w:sz="8" w:color="DDDDDD"/>
            </w:tcBorders>
          </w:tcPr>
          <w:p>
            <w:pPr>
              <w:spacing w:after="0"/>
              <w:rPr>
                <w:sz w:val="2"/>
                <w:szCs w:val="2"/>
                <w:color w:val="auto"/>
              </w:rPr>
            </w:pPr>
          </w:p>
        </w:tc>
        <w:tc>
          <w:tcPr>
            <w:tcW w:w="150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DDDDDD"/>
            </w:tcBorders>
            <w:gridSpan w:val="2"/>
            <w:shd w:val="clear" w:color="auto" w:fill="DDDDDD"/>
          </w:tcPr>
          <w:p>
            <w:pPr>
              <w:ind w:left="240"/>
              <w:spacing w:after="0"/>
              <w:rPr>
                <w:sz w:val="20"/>
                <w:szCs w:val="20"/>
                <w:color w:val="auto"/>
              </w:rPr>
            </w:pPr>
            <w:r>
              <w:rPr>
                <w:rFonts w:ascii="Times New Roman" w:cs="Times New Roman" w:eastAsia="Times New Roman" w:hAnsi="Times New Roman"/>
                <w:sz w:val="14"/>
                <w:szCs w:val="14"/>
                <w:color w:val="auto"/>
              </w:rPr>
              <w:t>Total repayments</w:t>
            </w:r>
          </w:p>
        </w:tc>
        <w:tc>
          <w:tcPr>
            <w:tcW w:w="160" w:type="dxa"/>
            <w:vAlign w:val="bottom"/>
            <w:tcBorders>
              <w:bottom w:val="single" w:sz="8" w:color="DDDDDD"/>
            </w:tcBorders>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50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DDDDDD"/>
            </w:tcBorders>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Open market repurchases of our various Senior Notes </w:t>
            </w:r>
            <w:r>
              <w:rPr>
                <w:rFonts w:ascii="Times New Roman" w:cs="Times New Roman" w:eastAsia="Times New Roman" w:hAnsi="Times New Roman"/>
                <w:sz w:val="18"/>
                <w:szCs w:val="18"/>
                <w:color w:val="auto"/>
                <w:vertAlign w:val="superscript"/>
              </w:rPr>
              <w:t>(2)</w:t>
            </w: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Borders>
              <w:bottom w:val="single" w:sz="8" w:color="DDDDDD"/>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DDDDDD"/>
            </w:tcBorders>
          </w:tcPr>
          <w:p>
            <w:pPr>
              <w:spacing w:after="0"/>
              <w:rPr>
                <w:sz w:val="18"/>
                <w:szCs w:val="18"/>
                <w:color w:val="auto"/>
              </w:rPr>
            </w:pPr>
          </w:p>
        </w:tc>
        <w:tc>
          <w:tcPr>
            <w:tcW w:w="1560" w:type="dxa"/>
            <w:vAlign w:val="bottom"/>
            <w:tcBorders>
              <w:bottom w:val="single" w:sz="8" w:color="DDDDDD"/>
            </w:tcBorders>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300" w:type="dxa"/>
            <w:vAlign w:val="bottom"/>
            <w:tcBorders>
              <w:bottom w:val="single" w:sz="8" w:color="DDDDDD"/>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DDDDDD"/>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DDDDDD"/>
            </w:tcBorders>
            <w:gridSpan w:val="2"/>
            <w:shd w:val="clear" w:color="auto" w:fill="DDDDDD"/>
          </w:tcPr>
          <w:p>
            <w:pPr>
              <w:ind w:left="240"/>
              <w:spacing w:after="0"/>
              <w:rPr>
                <w:sz w:val="20"/>
                <w:szCs w:val="20"/>
                <w:color w:val="auto"/>
              </w:rPr>
            </w:pPr>
            <w:r>
              <w:rPr>
                <w:rFonts w:ascii="Times New Roman" w:cs="Times New Roman" w:eastAsia="Times New Roman" w:hAnsi="Times New Roman"/>
                <w:sz w:val="14"/>
                <w:szCs w:val="14"/>
                <w:color w:val="auto"/>
              </w:rPr>
              <w:t>Total repurchases</w:t>
            </w:r>
          </w:p>
        </w:tc>
        <w:tc>
          <w:tcPr>
            <w:tcW w:w="160" w:type="dxa"/>
            <w:vAlign w:val="bottom"/>
            <w:tcBorders>
              <w:bottom w:val="single" w:sz="8" w:color="DDDDDD"/>
            </w:tcBorders>
            <w:shd w:val="clear" w:color="auto" w:fill="DDDDDD"/>
          </w:tcPr>
          <w:p>
            <w:pPr>
              <w:spacing w:after="0"/>
              <w:rPr>
                <w:sz w:val="18"/>
                <w:szCs w:val="18"/>
                <w:color w:val="auto"/>
              </w:rPr>
            </w:pPr>
          </w:p>
        </w:tc>
        <w:tc>
          <w:tcPr>
            <w:tcW w:w="1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50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Total redemptions, repayments and repurchases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-1996440</wp:posOffset>
            </wp:positionV>
            <wp:extent cx="6926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92" w:lineRule="exact"/>
        <w:rPr>
          <w:sz w:val="20"/>
          <w:szCs w:val="20"/>
          <w:color w:val="auto"/>
        </w:rPr>
      </w:pPr>
    </w:p>
    <w:p>
      <w:pPr>
        <w:ind w:left="340" w:right="420" w:hanging="332"/>
        <w:spacing w:after="0" w:line="271"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Write-off of issuance costs and consent fees are included in Other expense, net on our Condensed Consolidated Statements of Comprehensive Income. Write-off of issuance costs and consent fees are included in Other, net within Net cash provided by operating activities on our Condensed Consolidated Statements of Cash Flows.</w:t>
      </w:r>
    </w:p>
    <w:p>
      <w:pPr>
        <w:ind w:left="340" w:right="80" w:hanging="332"/>
        <w:spacing w:after="0" w:line="27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and losses associated with open market repurchases are included within Other expense, net on our Condensed Consolidated Statements of Comprehensive Income. Payments associated with principal repurchases are included in Repayments of long-term debt, and repurchase premiums and fees to extinguish debt are included in Other, net within Net cash used in financing activities on our Condensed Consolidated Statements of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Notes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2026, $2.5 billion of our ABS Notes were secured in total by $3.3 billion of gross EIP receivables and future collections on such receivables. Our ABS Notes and the assets securing this debt are included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maturities of our ABS Notes as of September 30, 2026,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shd w:val="clear" w:color="auto" w:fill="E20074"/>
          </w:tcPr>
          <w:p>
            <w:pPr>
              <w:spacing w:after="0"/>
              <w:rPr>
                <w:sz w:val="18"/>
                <w:szCs w:val="18"/>
                <w:color w:val="auto"/>
              </w:rPr>
            </w:pPr>
          </w:p>
        </w:tc>
        <w:tc>
          <w:tcPr>
            <w:tcW w:w="1500" w:type="dxa"/>
            <w:vAlign w:val="bottom"/>
            <w:shd w:val="clear" w:color="auto" w:fill="E20074"/>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Expected Maturities</w:t>
            </w:r>
          </w:p>
        </w:tc>
      </w:tr>
      <w:tr>
        <w:trPr>
          <w:trHeight w:val="209"/>
        </w:trPr>
        <w:tc>
          <w:tcPr>
            <w:tcW w:w="9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3"/>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23"/>
        </w:trPr>
        <w:tc>
          <w:tcPr>
            <w:tcW w:w="9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6"/>
        </w:trPr>
        <w:tc>
          <w:tcPr>
            <w:tcW w:w="9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4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985</w:t>
            </w:r>
          </w:p>
        </w:tc>
      </w:tr>
      <w:tr>
        <w:trPr>
          <w:trHeight w:val="193"/>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23"/>
        </w:trPr>
        <w:tc>
          <w:tcPr>
            <w:tcW w:w="96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960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our ABS Notes issuances, we formed a wholly owned subsidiary, which qualifies as a bankruptcy remote entity (the “ABS BRE”), and a trust (the “ABS Trust” and together with the ABS BRE, the “ABS Entities”) in which the ABS BRE holds a residual interest. Each of the ABS Entities meets the definition of a VIE for which we have determined that we are the primary beneficiary, as we have the power to direct the activities of the ABS Entities that most significantly impact their performance. Accordingly, we include the balances and results of operations of the ABS Entities on our condensed consolidated financial statements.</w:t>
      </w:r>
    </w:p>
    <w:p>
      <w:pPr>
        <w:spacing w:after="0" w:line="210"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carrying amounts and classification of assets and liabilities included on our Condensed Consolidated Balance Sheets with respect to the ABS Entities: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3"/>
        </w:trPr>
        <w:tc>
          <w:tcPr>
            <w:tcW w:w="8260" w:type="dxa"/>
            <w:vAlign w:val="bottom"/>
            <w:vMerge w:val="continue"/>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installment plan receivables, net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Equipment installment plan receivables due after one year, net</w:t>
            </w: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-1090295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4 – Receivables and Related Allowance for Credit Losses</w:t>
      </w:r>
      <w:r>
        <w:rPr>
          <w:rFonts w:ascii="Times New Roman" w:cs="Times New Roman" w:eastAsia="Times New Roman" w:hAnsi="Times New Roman"/>
          <w:sz w:val="18"/>
          <w:szCs w:val="18"/>
          <w:color w:val="auto"/>
        </w:rPr>
        <w:t xml:space="preserve"> for additional information on the EIP receivables used to secure the ABS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January 5, 2026, we entered into a Second Amended and Restated Credit Agreement (the “January 2026 Credit Agreement”) with certain financial institutions named therein. The January 2026 Credit Agreement amends and restates in its entirety the Amended and Restated Credit Agreement, dated as of October 17, 2022, and provides for a $10.0 billion revolving credit facility, including a letter of credit sub-facility of up to $1.5 billion and a swingline loan sub-facility of up to $500 million. Commitments under the January 2026 Credit Agreement will mature on January 5, 2031, except as otherwise extended or replaced. Borrowings under the January 2026 Credit Agreement will bear interest based upon the applicable benchmark rate, depending on the type of loan and, in some cases, at our election, plus a margin that is determined by reference to the credit rating of T-Mobile USA’s senior unsecured long-term debt. The January 2026 Credit Agreement contains customary representations, warranties and covenants, including a financial maintenance covenant of 4.5x with respect to T-Mobile USA, Inc.’s Leverage Ratio (as defined therein). As of September 30, 2026, we did not have an outstanding balance under this facility.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Receivables Financing Agreement</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5, 2026, we entered into a master receivables financing agreement with certain third parties that provides for a revolving loan facility secured by pledged service customer relationships, which include current as well as future monthly service receivables, during the borrowing period (the “MRFA”). Concurrently with the execution of the MRFA, we borrowed $1.0 billion with a floating interest rate indexed to the Secured Overnight Financing Rate (“SOFR”) plus an applicable margin, with an initial scheduled expiry date of February 5, 2027, and principal paydowns beginning thereafter. The net proceeds are presented in Proceeds from issuance of long-term debt on our Condensed Consolidated Statements of Cash Flows for the nine months ended September 30, 2026.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2026, $1.0 billion of borrowings are secured by approximately $200 million of outstanding service accounts receivable, the related customer service account contracts and future monthly service receivables. The borrowings related to the MRFA and assets securing these borrowings are included on our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Certain provisions of our debt agreements require us to maintain specified cash collateral balances. Amounts associated with these balances are considered to be restricted cash. See </w:t>
      </w:r>
      <w:r>
        <w:rPr>
          <w:rFonts w:ascii="Times New Roman" w:cs="Times New Roman" w:eastAsia="Times New Roman" w:hAnsi="Times New Roman"/>
          <w:sz w:val="18"/>
          <w:szCs w:val="18"/>
          <w:u w:val="single" w:color="auto"/>
          <w:color w:val="0000FF"/>
        </w:rPr>
        <w:t>Note 16 – Additional Financial Information</w:t>
      </w:r>
      <w:r>
        <w:rPr>
          <w:rFonts w:ascii="Times New Roman" w:cs="Times New Roman" w:eastAsia="Times New Roman" w:hAnsi="Times New Roman"/>
          <w:sz w:val="18"/>
          <w:szCs w:val="18"/>
          <w:color w:val="auto"/>
        </w:rPr>
        <w:t xml:space="preserve"> for our reconciliation of Cash and cash equivalents, including restricted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Tower Obligations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CCI Tower Lease Arrangements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2012, we conveyed to Crown Castle International Corp. (“CCI”) the exclusive right to manage and operate approximately 6,200 tower sites (“CCI Lease Sites”) via a master prepaid lease with site lease terms ranging from 23 to 37 years. CCI has fixed-price purchase options for the CCI Lease Sites totaling approximately $2.0 billion, exercisable annually on a per-tranche basis at the end of the lease term during the period from December 31, 2035, through December 31, 2049. If CCI exercises its purchase option for any tranche, it must purchase all the towers in the tranche. We lease back a portion of the space at certain tower sites.</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Assets and liabilities associated with the operation of the tower sites were transferred to special purpose entities (“SPEs”). Assets included ground lease agreements or deeds for the land on which the towers are situated, the towers themselves and existing subleasing agreements with other mobile network operator tenants that lease space at the tower sites. Liabilities included the obligation to pay ground lease rentals, property taxes and other executory costs.</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determined the SPEs containing the CCI Lease Sites (“Lease Site SPEs”) are VIEs as they lack sufficient equity to finance their activities. We have a variable interest in the Lease Site SPEs but are not the primary beneficiary as we lack the power to direct the activities that most significantly impact the Lease Site SPEs’ economic performance. These activities include managing tenants and underlying ground leases, performing repair and maintenance on the towers, the obligation to absorb expected losses and the right to receive the expected future residual returns from the purchase option to acquire the CCI Lease Sites. As we determined that we are not the primary beneficiary and do not have a controlling financial interest in the Lease Site SPEs, the Lease Site SPEs are not included on our condensed consolidated financial statements.</w:t>
      </w:r>
    </w:p>
    <w:p>
      <w:pPr>
        <w:spacing w:after="0" w:line="2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However, we also considered if this arrangement resulted in the sale of the CCI Lease Sites for which we would derecognize the tower assets. By assessing whether control had transferred, we concluded that transfer of control criteria, as discussed in the revenue standard, were not met. Accordingly, we recorded this arrangement as a financing whereby we recorded debt, a financial obligation, and the CCI Lease Sites tower assets remained on our Condensed Consolidated Balance Sheets. We recorded long-term financial obligations in the amount of the net proceeds received and recognize interest on the tower obligations. The tower obligations are increased by interest expense and amortized through contractual leaseback payments made by us to CCI and through net cash flows generated and retained by CCI from the operation of the tower sites.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CCI Tower Lease Arrangements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Prior to our merger (the “Sprint Merger”) with Sprint Corporation (“Sprint”), Sprint entered into a lease-out and leaseback arrangement with Global Signal Inc., a third party that was subsequently acquired by CCI, that conveyed to CCI the exclusive right to manage and operate approximately 6,400 tower sites (“Master Lease Sites”) via a master prepaid lease. These agreements were assumed upon the close of the Sprint Merger, at which point the remaining term of the lease-out was approximately 17 years with no renewal options. CCI has a fixed price purchase option for all (but not less than all) of the leased or subleased sites for approximately $2.3 billion, exercisable one year prior to the expiration of the agreement and ending 120 days prior to the expiration of the agreement. We lease back a portion of the space at certain tower sites.</w:t>
      </w:r>
    </w:p>
    <w:p>
      <w:pPr>
        <w:spacing w:after="0" w:line="21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considered if this arrangement resulted in the sale of the Master Lease Sites for which we would derecognize the tower assets. By assessing whether control had transferred, we concluded that transfer of control criteria, as discussed in the revenue standard, were not met. Accordingly, we recorded this arrangement as a financing whereby we recorded debt, a financial obligation, and the Master Lease Sites tower assets remained on our Condensed Consolidated Balance Sheets.</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recognize interest expense on the tower obligations. The tower obligations are increased by the interest expense and amortized through contractual leaseback payments made by us to CCI. The tower assets are reported in Property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equipment, net on our Condensed Consolidated Balance Sheets and are depreciated to their estimated residual values over the expected useful life of the towers, which is 20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Leaseback Arrangement</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January 3, 2022, we entered into an agreement (the “Crown Agreement”) with CCI. The Crown Agreement extends the current term of the leasebacks by up to 12 years and modifies the leaseback payments for both the Existing CCI Tower Lease Arrangements and the Acquired CCI Tower Lease Arrangements. As a result of the Crown Agreement, there was an increase in our financing obligation as of the effective date of the Crown Agreement of approximately $1.2 billion, with a corresponding decrease to Other long-term liabilities associated with unfavorable contract terms. The modification resulted in a revised interest rate under the effective interest method for the tower obligations: 11.6% for the Existing CCI Tower Lease Arrangements and 5.3% for the Acquired CCI Tower Lease Arrangements. There were no changes made to either of our master prepaid leases with CCI.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associated with both of the tower arrangements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0"/>
        </w:trPr>
        <w:tc>
          <w:tcPr>
            <w:tcW w:w="8260" w:type="dxa"/>
            <w:vAlign w:val="bottom"/>
            <w:vMerge w:val="continue"/>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30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Tower obligations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2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3"/>
        </w:trPr>
        <w:tc>
          <w:tcPr>
            <w:tcW w:w="826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Future minimum payments related to the tower obligations are approximately $396 million for the 12-month period ending September 30, 2027, $829 million in total for both of the 12-month periods ending September 30, 2028 and 2029, $883 million in total for both of the 12-month periods ending September 30, 2030 and 2031, and $2.9 billion in total thereafter.</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contingently liable for future ground lease payments through the remaining term of the CCI Lease Sites and the Master Lease Sites. These contingent obligations are not included in Operating lease liabilities, as any amount due is contractually owed by CCI based on the subleasing arrangement. Under the arrangement, we remain primarily liable for ground lease payments on approximately 850 sites and have included lease liabilities of $233 million in our Operating lease liabilities as of September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 from Contracts with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wireless communications and broadband services to a variety of customers, but focus primarily on two categories:</w:t>
      </w:r>
    </w:p>
    <w:p>
      <w:pPr>
        <w:spacing w:after="0" w:line="252" w:lineRule="exact"/>
        <w:rPr>
          <w:sz w:val="20"/>
          <w:szCs w:val="20"/>
          <w:color w:val="auto"/>
        </w:rPr>
      </w:pPr>
    </w:p>
    <w:p>
      <w:pPr>
        <w:ind w:left="660" w:right="40" w:hanging="247"/>
        <w:spacing w:after="0" w:line="298"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Postpaid generally includes customers that are qualified to pay after receiving service utilizing phones, 5G broadband gateways, fiber connections, mobile internet devices (including tablets and hotspots), wearables, DIGITS and other connected devices (including SyncUP and IoT); and</w:t>
      </w: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generally includes customers that pay for service in advance.</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also provide services to wholesale customers which include Machine-to-Machine and Mobile Virtual Network Operator customers that operate on our network but are managed by wholesale partners.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balances presented in each revenue line item on our Condensed Consolidated Statements of Comprehensive Income represent categories of revenue from contracts with customers disaggregated by type of product and service. Postpaid and prepaid service revenues also include revenues earned for providing premium services to customers, such as device insurance services.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asset and contract liability balances from contracts with customers as of September 30, 2026 and December 31,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Contract</w:t>
            </w:r>
          </w:p>
        </w:tc>
        <w:tc>
          <w:tcPr>
            <w:tcW w:w="42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shd w:val="clear" w:color="auto" w:fill="E20074"/>
          </w:tcPr>
          <w:p>
            <w:pPr>
              <w:spacing w:after="0"/>
              <w:rPr>
                <w:sz w:val="14"/>
                <w:szCs w:val="14"/>
                <w:color w:val="auto"/>
              </w:rPr>
            </w:pPr>
          </w:p>
        </w:tc>
        <w:tc>
          <w:tcPr>
            <w:tcW w:w="1180" w:type="dxa"/>
            <w:vAlign w:val="bottom"/>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Contract</w:t>
            </w:r>
          </w:p>
        </w:tc>
        <w:tc>
          <w:tcPr>
            <w:tcW w:w="0" w:type="dxa"/>
            <w:vAlign w:val="bottom"/>
          </w:tcPr>
          <w:p>
            <w:pPr>
              <w:spacing w:after="0"/>
              <w:rPr>
                <w:sz w:val="1"/>
                <w:szCs w:val="1"/>
                <w:color w:val="auto"/>
              </w:rPr>
            </w:pPr>
          </w:p>
        </w:tc>
      </w:tr>
      <w:tr>
        <w:trPr>
          <w:trHeight w:val="200"/>
        </w:trPr>
        <w:tc>
          <w:tcPr>
            <w:tcW w:w="8260" w:type="dxa"/>
            <w:vAlign w:val="bottom"/>
            <w:vMerge w:val="continue"/>
          </w:tcPr>
          <w:p>
            <w:pPr>
              <w:spacing w:after="0"/>
              <w:rPr>
                <w:sz w:val="17"/>
                <w:szCs w:val="17"/>
                <w:color w:val="auto"/>
              </w:rPr>
            </w:pPr>
          </w:p>
        </w:tc>
        <w:tc>
          <w:tcPr>
            <w:tcW w:w="1020" w:type="dxa"/>
            <w:vAlign w:val="bottom"/>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Assets</w:t>
            </w:r>
          </w:p>
        </w:tc>
        <w:tc>
          <w:tcPr>
            <w:tcW w:w="42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80" w:type="dxa"/>
            <w:vAlign w:val="bottom"/>
            <w:shd w:val="clear" w:color="auto" w:fill="E20074"/>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Liabilities</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020" w:type="dxa"/>
            <w:vAlign w:val="bottom"/>
            <w:tcBorders>
              <w:bottom w:val="single" w:sz="8" w:color="DBDBDB"/>
            </w:tcBorders>
            <w:shd w:val="clear" w:color="auto" w:fill="DBDBDB"/>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360" w:type="dxa"/>
            <w:vAlign w:val="bottom"/>
            <w:tcBorders>
              <w:bottom w:val="single" w:sz="8" w:color="DBDBDB"/>
            </w:tcBorders>
            <w:gridSpan w:val="2"/>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2026</w:t>
            </w:r>
          </w:p>
        </w:tc>
        <w:tc>
          <w:tcPr>
            <w:tcW w:w="10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23"/>
        </w:trPr>
        <w:tc>
          <w:tcPr>
            <w:tcW w:w="8260" w:type="dxa"/>
            <w:vAlign w:val="bottom"/>
            <w:tcBorders>
              <w:bottom w:val="single" w:sz="8" w:color="DBDBDB"/>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6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Change</w:t>
            </w:r>
          </w:p>
        </w:tc>
        <w:tc>
          <w:tcPr>
            <w:tcW w:w="1020" w:type="dxa"/>
            <w:vAlign w:val="bottom"/>
            <w:tcBorders>
              <w:bottom w:val="single" w:sz="8" w:color="auto"/>
            </w:tcBorders>
            <w:shd w:val="clear" w:color="auto" w:fill="DBDBDB"/>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Contract assets primarily represent revenue recognized for equipment sales with promotional bill credits offered to customers that are paid over time and are contingent on the customer maintaining a service contract.</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change in the contract asset balance reflects customer activity related to new promotions, offset by billings on existing contracts and impairment, which is recognized as bad debt expense. The current portion of our contract assets of $1.1 billion and $920 million as of September 30, 2026 and December 31, 2025, respectively, was included in Other current assets on our Condensed Consolidated Balance Sheets.</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Contract liabilities are recorded when fees are collected, or we have an unconditional right to consideration (a receivable) in advance of delivery of goods or services. Changes in contract liabilities are primarily related to the activity of prepaid customers and contract liabilities assumed in the UScellular Acquisition. Contract liabilities are primarily included in Deferred revenue on our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three and nine months ended September 30, 2026 and 2025,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20" w:type="dxa"/>
            <w:vAlign w:val="bottom"/>
          </w:tcPr>
          <w:p>
            <w:pPr>
              <w:spacing w:after="0"/>
              <w:rPr>
                <w:sz w:val="19"/>
                <w:szCs w:val="19"/>
                <w:color w:val="auto"/>
              </w:rPr>
            </w:pPr>
          </w:p>
        </w:tc>
        <w:tc>
          <w:tcPr>
            <w:tcW w:w="2660" w:type="dxa"/>
            <w:vAlign w:val="bottom"/>
            <w:gridSpan w:val="4"/>
            <w:shd w:val="clear" w:color="auto" w:fill="E20074"/>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Three Months Ended September 30,</w:t>
            </w:r>
          </w:p>
        </w:tc>
        <w:tc>
          <w:tcPr>
            <w:tcW w:w="280" w:type="dxa"/>
            <w:vAlign w:val="bottom"/>
            <w:shd w:val="clear" w:color="auto" w:fill="E20074"/>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c>
          <w:tcPr>
            <w:tcW w:w="400" w:type="dxa"/>
            <w:vAlign w:val="bottom"/>
            <w:shd w:val="clear" w:color="auto" w:fill="E20074"/>
          </w:tcPr>
          <w:p>
            <w:pPr>
              <w:spacing w:after="0"/>
              <w:rPr>
                <w:sz w:val="19"/>
                <w:szCs w:val="19"/>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Borders>
              <w:bottom w:val="single" w:sz="8" w:color="E20074"/>
            </w:tcBorders>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2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E20074"/>
            </w:tcBorders>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8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48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E20074"/>
            </w:tcBorders>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400" w:type="dxa"/>
            <w:vAlign w:val="bottom"/>
            <w:tcBorders>
              <w:bottom w:val="single" w:sz="8" w:color="E20074"/>
            </w:tcBorders>
            <w:shd w:val="clear" w:color="auto" w:fill="E20074"/>
          </w:tcPr>
          <w:p>
            <w:pPr>
              <w:spacing w:after="0"/>
              <w:rPr>
                <w:sz w:val="18"/>
                <w:szCs w:val="18"/>
                <w:color w:val="auto"/>
              </w:rPr>
            </w:pPr>
          </w:p>
        </w:tc>
      </w:tr>
      <w:tr>
        <w:trPr>
          <w:trHeight w:val="206"/>
        </w:trPr>
        <w:tc>
          <w:tcPr>
            <w:tcW w:w="5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Amounts included in the beginning of year contract liability balance</w:t>
            </w:r>
          </w:p>
        </w:tc>
        <w:tc>
          <w:tcPr>
            <w:tcW w:w="1000" w:type="dxa"/>
            <w:vAlign w:val="bottom"/>
            <w:shd w:val="clear" w:color="auto" w:fill="DBDBDB"/>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40" w:type="dxa"/>
            <w:vAlign w:val="bottom"/>
            <w:gridSpan w:val="2"/>
            <w:shd w:val="clear" w:color="auto" w:fill="DBDBDB"/>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60" w:type="dxa"/>
            <w:vAlign w:val="bottom"/>
            <w:gridSpan w:val="2"/>
            <w:shd w:val="clear" w:color="auto" w:fill="DBDBDB"/>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140" w:type="dxa"/>
            <w:vAlign w:val="bottom"/>
            <w:gridSpan w:val="2"/>
            <w:shd w:val="clear" w:color="auto" w:fill="DBDBDB"/>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1,127</w:t>
            </w:r>
          </w:p>
        </w:tc>
      </w:tr>
      <w:tr>
        <w:trPr>
          <w:trHeight w:val="23"/>
        </w:trPr>
        <w:tc>
          <w:tcPr>
            <w:tcW w:w="522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2026, the aggregate amount of the transaction price allocated to remaining service performance obligations for postpaid contracts with subsidized devices and promotional bill credits that result in an extended service contract is $3.1 billion. We expect to recognize revenue as the service is provided on these postpaid contracts, generally over a period of 24 or 36 months from the time of origination.</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about remaining performance obligations that are part of a contract that has an original expected duration of one year or less has been excluded from the above, which primarily consists of monthly service contracts.</w:t>
      </w:r>
    </w:p>
    <w:p>
      <w:pPr>
        <w:spacing w:after="0" w:line="18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Certain of our wholesale, roaming and service contracts include variable consideration based on usage and performance. This variable consideration has been excluded from the disclosure of remaining performance obligations. As of September 30, 2026, the aggregate amount of the contractual minimum consideration for wholesale, roaming and service contracts is $314 million, $920 million and $2.6 billion for the remainder of 2026, 2027, and 2028 and beyond, respectively. These contracts have a remaining duration ranging from less than one year to seven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5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balance of deferred incremental costs to obtain contracts with customers was $2.1 billion as of September 30, 2026, and $2.0 billion as of December 31, 2025, and is included in Other assets on our Condensed Consolidated Balance Sheets. Deferred contract costs incurred to obtain postpaid service contracts are amortized over a period of 24 or 36 months depending on the customer contract. The amortization periods are monitored to reflect any significant change in assumptions. Amortization of deferred contract costs included in Selling, general and administrative expenses on our Condensed Consolidated Statements of Comprehensive Income were $487 million and $474 million for the three months ended September 30, 2026 and 2025, respectively, and $1.4 billion for both the nine months ended September 30, 2026 and 2025.</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deferred contract cost asset is assessed for impairment on a periodic basis. There were no impairment losses recognized on deferred contract cost assets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Reporting</w:t>
      </w:r>
    </w:p>
    <w:p>
      <w:pPr>
        <w:spacing w:after="0" w:line="256"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We manage our business activities on a consolidated basis and operate as a single operating segment: Wireless. We primarily derive our revenue in the United States by providing wireless communications and broadband services to customers using our wireless networks and selling devices that provide customers access to our wireless networks. The accounting policies of the Wireless segment are the same as those described in Part II, Item 8, Note 1 – Summary of Significant Accounting Policies of our Annual Report on Form 10-K for the year ended December 31, 2025.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The CODM uses Net income, as reported on our Condensed Consolidated Statements of Comprehensive Income, in evaluating performance of the Wireless segment and determining how to allocate resources of the Company as a whole, including investing in our networks and customers, stockholder return programs and acquisition strategy. The CODM does not review assets in evaluating the results of the Wireless segment, and therefore, such information is not presented.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Wireless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220" w:type="dxa"/>
            <w:vAlign w:val="bottom"/>
            <w:shd w:val="clear" w:color="auto" w:fill="E20074"/>
          </w:tcPr>
          <w:p>
            <w:pPr>
              <w:spacing w:after="0"/>
              <w:rPr>
                <w:sz w:val="19"/>
                <w:szCs w:val="19"/>
                <w:color w:val="auto"/>
              </w:rPr>
            </w:pPr>
          </w:p>
        </w:tc>
        <w:tc>
          <w:tcPr>
            <w:tcW w:w="2720" w:type="dxa"/>
            <w:vAlign w:val="bottom"/>
            <w:gridSpan w:val="4"/>
            <w:shd w:val="clear" w:color="auto" w:fill="E20074"/>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Three Months Ended September 30,</w:t>
            </w:r>
          </w:p>
        </w:tc>
        <w:tc>
          <w:tcPr>
            <w:tcW w:w="100" w:type="dxa"/>
            <w:vAlign w:val="bottom"/>
          </w:tcPr>
          <w:p>
            <w:pPr>
              <w:spacing w:after="0"/>
              <w:rPr>
                <w:sz w:val="19"/>
                <w:szCs w:val="19"/>
                <w:color w:val="auto"/>
              </w:rPr>
            </w:pPr>
          </w:p>
        </w:tc>
        <w:tc>
          <w:tcPr>
            <w:tcW w:w="260" w:type="dxa"/>
            <w:vAlign w:val="bottom"/>
            <w:shd w:val="clear" w:color="auto" w:fill="E20074"/>
          </w:tcPr>
          <w:p>
            <w:pPr>
              <w:spacing w:after="0"/>
              <w:rPr>
                <w:sz w:val="19"/>
                <w:szCs w:val="19"/>
                <w:color w:val="auto"/>
              </w:rPr>
            </w:pPr>
          </w:p>
        </w:tc>
        <w:tc>
          <w:tcPr>
            <w:tcW w:w="2720" w:type="dxa"/>
            <w:vAlign w:val="bottom"/>
            <w:gridSpan w:val="4"/>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E20074"/>
            </w:tcBorders>
            <w:shd w:val="clear" w:color="auto" w:fill="E20074"/>
          </w:tcPr>
          <w:p>
            <w:pPr>
              <w:spacing w:after="0"/>
              <w:rPr>
                <w:sz w:val="18"/>
                <w:szCs w:val="18"/>
                <w:color w:val="auto"/>
              </w:rPr>
            </w:pPr>
          </w:p>
        </w:tc>
        <w:tc>
          <w:tcPr>
            <w:tcW w:w="120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108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118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110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r>
      <w:tr>
        <w:trPr>
          <w:trHeight w:val="209"/>
        </w:trPr>
        <w:tc>
          <w:tcPr>
            <w:tcW w:w="52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23,584</w:t>
            </w:r>
          </w:p>
        </w:tc>
        <w:tc>
          <w:tcPr>
            <w:tcW w:w="440" w:type="dxa"/>
            <w:vAlign w:val="bottom"/>
            <w:tcBorders>
              <w:bottom w:val="single" w:sz="8" w:color="DBDBDB"/>
            </w:tcBorders>
            <w:gridSpan w:val="2"/>
            <w:shd w:val="clear" w:color="auto" w:fill="DBDBDB"/>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21,957</w:t>
            </w:r>
          </w:p>
        </w:tc>
        <w:tc>
          <w:tcPr>
            <w:tcW w:w="360" w:type="dxa"/>
            <w:vAlign w:val="bottom"/>
            <w:tcBorders>
              <w:bottom w:val="single" w:sz="8" w:color="DBDBDB"/>
            </w:tcBorders>
            <w:gridSpan w:val="2"/>
            <w:shd w:val="clear" w:color="auto" w:fill="DBDBDB"/>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69,482</w:t>
            </w:r>
          </w:p>
        </w:tc>
        <w:tc>
          <w:tcPr>
            <w:tcW w:w="440" w:type="dxa"/>
            <w:vAlign w:val="bottom"/>
            <w:tcBorders>
              <w:bottom w:val="single" w:sz="8" w:color="DBDBDB"/>
            </w:tcBorders>
            <w:gridSpan w:val="2"/>
            <w:shd w:val="clear" w:color="auto" w:fill="DBDBDB"/>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63,975</w:t>
            </w: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Significant and other segment expenses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522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Cost of equipment sales</w:t>
            </w:r>
          </w:p>
        </w:tc>
        <w:tc>
          <w:tcPr>
            <w:tcW w:w="2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15,987</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14,310</w:t>
            </w: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Employee expenses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6,021</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522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Lease expense</w:t>
            </w:r>
          </w:p>
        </w:tc>
        <w:tc>
          <w:tcPr>
            <w:tcW w:w="2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4,280</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3,805</w:t>
            </w: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Advertising expense</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522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Bad debt expense</w:t>
            </w:r>
          </w:p>
        </w:tc>
        <w:tc>
          <w:tcPr>
            <w:tcW w:w="2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216"/>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11,759</w:t>
            </w:r>
          </w:p>
        </w:tc>
      </w:tr>
      <w:tr>
        <w:trPr>
          <w:trHeight w:val="196"/>
        </w:trPr>
        <w:tc>
          <w:tcPr>
            <w:tcW w:w="522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Impairment expense</w:t>
            </w:r>
          </w:p>
        </w:tc>
        <w:tc>
          <w:tcPr>
            <w:tcW w:w="2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522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2,762</w:t>
            </w:r>
          </w:p>
        </w:tc>
      </w:tr>
      <w:tr>
        <w:trPr>
          <w:trHeight w:val="193"/>
        </w:trPr>
        <w:tc>
          <w:tcPr>
            <w:tcW w:w="5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expense, net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220" w:type="dxa"/>
            <w:vAlign w:val="bottom"/>
            <w:tcBorders>
              <w:bottom w:val="single" w:sz="8" w:color="DBDBDB"/>
            </w:tcBorders>
            <w:shd w:val="clear" w:color="auto" w:fill="DBDBDB"/>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2,757</w:t>
            </w:r>
          </w:p>
        </w:tc>
      </w:tr>
      <w:tr>
        <w:trPr>
          <w:trHeight w:val="217"/>
        </w:trPr>
        <w:tc>
          <w:tcPr>
            <w:tcW w:w="5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Segment net income</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-2099310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in Segment net income primarily include certain third-party commissions, external labor and services and backhaul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 Return Program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Stockholder Return Program</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11, 2025, we announced that our Board of Directors authorized our 2026 Stockholder Return Program of up to $14.6 billion that will run through December 31, 2026 (the “2026 Stockholder Return Program”). On April 23, 2026, we announced that our Board of Directors increased the 2026 Stockholder Return Program authorization to up to $18.2 billion. The 2026 Stockholder Return Program consists of repurchases of shares of our common stock and the payment of cash dividends. The amount available under the 2026 Stockholder Return Program for share repurchases will be reduced by the amount of any cash dividends declared and paid by us.</w:t>
      </w:r>
    </w:p>
    <w:p>
      <w:pPr>
        <w:spacing w:after="0" w:line="2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4, 2025, our Board of Directors declared a cash dividend of $1.02 per share on our issued and outstanding common stock, which was paid on March 12, 2026, to stockholders of record as of the close of business on February 27, 2026.</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March 19, 2026, our Board of Directors declared a cash dividend of $1.02 per share on our issued and outstanding common stock, which was paid on June 11, 2026, to stockholders of record as of the close of business on May 29, 2026.</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June 15, 2026, our Board of Directors declared a cash dividend of $1.02 per share on our issued and outstanding common stock, which was paid on September 10, 2026, to stockholders of record as of the close of business on August 28, 2026.</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September 24, 2026, our Board of Directors declared a cash dividend of $1.17 per share on our issued and outstanding common stock, which will be paid on December 10, 2026, to stockholders of record as of the close of business on November 25,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paid an aggregate of $1.1 billion and $3.3 billion, respectively, in cash dividends to our stockholders, which are presented within Net cash used in financing activities on our Condensed Consolidated Statements of Cash Flows, of which during the three and nine months ended September 30, 2026, $594 million and $1.8 billion, respectively, were paid to Deutsche Telekom AG (“DT”). As of September 30, 2026, $1.2 billion for dividends payable is presented within Other current liabilities on our Condensed Consolidated Balance Sheets, of which $681 million is payable to DT.</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13,621,695 shares of our common stock at an average price per share of $177.31 for a total purchase price of $2.4 billion, and during the nine months ended September 30, 2026, we repurchased 48,372,465 shares of our common stock at an average price per share of $195.81 for a total purchase price of $9.5 billion under the 2026 Stockholder Return Program. All shares repurchased during the three and nine months ended September 30, 2026, were purchased at market price. As of September 30, 2026, we had up to $5.4 billion remaining under the 2026 Stockholder Return Program for repurchases of shares and quarterly dividends through December 31, 2026.</w:t>
      </w: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Subsequent to September 30, 2026, from October 1, 2026, through October 23, 2026, we repurchased 4,987,500 shares of our common stock at an average price per share of $158.68 for a total purchase price of $791 million. As of October 23, 2026, we had up to $4.6 billion remaining under the 2026 Stockholder Return Program for repurchases of shares and quarterly dividends through December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20" w:type="dxa"/>
            <w:vAlign w:val="bottom"/>
            <w:shd w:val="clear" w:color="auto" w:fill="E20074"/>
          </w:tcPr>
          <w:p>
            <w:pPr>
              <w:spacing w:after="0"/>
              <w:rPr>
                <w:sz w:val="19"/>
                <w:szCs w:val="19"/>
                <w:color w:val="auto"/>
              </w:rPr>
            </w:pPr>
          </w:p>
        </w:tc>
        <w:tc>
          <w:tcPr>
            <w:tcW w:w="2740" w:type="dxa"/>
            <w:vAlign w:val="bottom"/>
            <w:gridSpan w:val="4"/>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Three Months Ended September 30,</w:t>
            </w:r>
          </w:p>
        </w:tc>
        <w:tc>
          <w:tcPr>
            <w:tcW w:w="100" w:type="dxa"/>
            <w:vAlign w:val="bottom"/>
          </w:tcPr>
          <w:p>
            <w:pPr>
              <w:spacing w:after="0"/>
              <w:rPr>
                <w:sz w:val="19"/>
                <w:szCs w:val="19"/>
                <w:color w:val="auto"/>
              </w:rPr>
            </w:pPr>
          </w:p>
        </w:tc>
        <w:tc>
          <w:tcPr>
            <w:tcW w:w="260" w:type="dxa"/>
            <w:vAlign w:val="bottom"/>
            <w:shd w:val="clear" w:color="auto" w:fill="E20074"/>
          </w:tcPr>
          <w:p>
            <w:pPr>
              <w:spacing w:after="0"/>
              <w:rPr>
                <w:sz w:val="19"/>
                <w:szCs w:val="19"/>
                <w:color w:val="auto"/>
              </w:rPr>
            </w:pPr>
          </w:p>
        </w:tc>
        <w:tc>
          <w:tcPr>
            <w:tcW w:w="2720" w:type="dxa"/>
            <w:vAlign w:val="bottom"/>
            <w:gridSpan w:val="4"/>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r>
      <w:tr>
        <w:trPr>
          <w:trHeight w:val="20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shares and per share amounts)</w:t>
            </w:r>
          </w:p>
        </w:tc>
        <w:tc>
          <w:tcPr>
            <w:tcW w:w="220" w:type="dxa"/>
            <w:vAlign w:val="bottom"/>
            <w:tcBorders>
              <w:bottom w:val="single" w:sz="8" w:color="E20074"/>
            </w:tcBorders>
            <w:shd w:val="clear" w:color="auto" w:fill="E20074"/>
          </w:tcPr>
          <w:p>
            <w:pPr>
              <w:spacing w:after="0"/>
              <w:rPr>
                <w:sz w:val="18"/>
                <w:szCs w:val="18"/>
                <w:color w:val="auto"/>
              </w:rPr>
            </w:pPr>
          </w:p>
        </w:tc>
        <w:tc>
          <w:tcPr>
            <w:tcW w:w="120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8"/>
                <w:szCs w:val="18"/>
                <w:color w:val="auto"/>
              </w:rPr>
            </w:pPr>
          </w:p>
        </w:tc>
        <w:tc>
          <w:tcPr>
            <w:tcW w:w="300" w:type="dxa"/>
            <w:vAlign w:val="bottom"/>
            <w:tcBorders>
              <w:bottom w:val="single" w:sz="8" w:color="E20074"/>
            </w:tcBorders>
            <w:shd w:val="clear" w:color="auto" w:fill="E20074"/>
          </w:tcPr>
          <w:p>
            <w:pPr>
              <w:spacing w:after="0"/>
              <w:rPr>
                <w:sz w:val="18"/>
                <w:szCs w:val="18"/>
                <w:color w:val="auto"/>
              </w:rPr>
            </w:pPr>
          </w:p>
        </w:tc>
        <w:tc>
          <w:tcPr>
            <w:tcW w:w="112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118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320" w:type="dxa"/>
            <w:vAlign w:val="bottom"/>
            <w:tcBorders>
              <w:bottom w:val="single" w:sz="8" w:color="E20074"/>
            </w:tcBorders>
            <w:shd w:val="clear" w:color="auto" w:fill="E20074"/>
          </w:tcPr>
          <w:p>
            <w:pPr>
              <w:spacing w:after="0"/>
              <w:rPr>
                <w:sz w:val="18"/>
                <w:szCs w:val="18"/>
                <w:color w:val="auto"/>
              </w:rPr>
            </w:pPr>
          </w:p>
        </w:tc>
        <w:tc>
          <w:tcPr>
            <w:tcW w:w="112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r>
      <w:tr>
        <w:trPr>
          <w:trHeight w:val="210"/>
        </w:trPr>
        <w:tc>
          <w:tcPr>
            <w:tcW w:w="52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4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3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4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8,889</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 xml:space="preserve">Weighted-average shares outstanding – basic </w:t>
            </w:r>
            <w:r>
              <w:rPr>
                <w:rFonts w:ascii="Times New Roman" w:cs="Times New Roman" w:eastAsia="Times New Roman" w:hAnsi="Times New Roman"/>
                <w:sz w:val="18"/>
                <w:szCs w:val="18"/>
                <w:color w:val="auto"/>
                <w:vertAlign w:val="superscript"/>
              </w:rPr>
              <w:t>(1)</w:t>
            </w:r>
          </w:p>
        </w:tc>
        <w:tc>
          <w:tcPr>
            <w:tcW w:w="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1,070,648,134</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1,123,754,096</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1,084,089,790</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1,133,743,367</w:t>
            </w: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 xml:space="preserve">Outstanding stock options and unvested stock awards </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982,300</w:t>
            </w:r>
          </w:p>
        </w:tc>
        <w:tc>
          <w:tcPr>
            <w:tcW w:w="120" w:type="dxa"/>
            <w:vAlign w:val="bottom"/>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2,873,612</w:t>
            </w:r>
          </w:p>
        </w:tc>
        <w:tc>
          <w:tcPr>
            <w:tcW w:w="100" w:type="dxa"/>
            <w:vAlign w:val="bottom"/>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1,386,893</w:t>
            </w:r>
          </w:p>
        </w:tc>
        <w:tc>
          <w:tcPr>
            <w:tcW w:w="10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3,177,154</w:t>
            </w:r>
          </w:p>
        </w:tc>
      </w:tr>
      <w:tr>
        <w:trPr>
          <w:trHeight w:val="217"/>
        </w:trPr>
        <w:tc>
          <w:tcPr>
            <w:tcW w:w="5200" w:type="dxa"/>
            <w:vAlign w:val="bottom"/>
            <w:tcBorders>
              <w:bottom w:val="single" w:sz="8" w:color="DBDBDB"/>
            </w:tcBorders>
          </w:tcPr>
          <w:p>
            <w:pPr>
              <w:ind w:left="26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1,071,630,434</w:t>
            </w:r>
          </w:p>
        </w:tc>
        <w:tc>
          <w:tcPr>
            <w:tcW w:w="12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1,126,627,708</w:t>
            </w:r>
          </w:p>
        </w:tc>
        <w:tc>
          <w:tcPr>
            <w:tcW w:w="1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1,085,476,683</w:t>
            </w:r>
          </w:p>
        </w:tc>
        <w:tc>
          <w:tcPr>
            <w:tcW w:w="1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1,136,920,521</w:t>
            </w:r>
          </w:p>
        </w:tc>
      </w:tr>
      <w:tr>
        <w:trPr>
          <w:trHeight w:val="203"/>
        </w:trPr>
        <w:tc>
          <w:tcPr>
            <w:tcW w:w="52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2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220" w:type="dxa"/>
            <w:vAlign w:val="bottom"/>
            <w:tcBorders>
              <w:bottom w:val="single" w:sz="8" w:color="DBDBDB"/>
            </w:tcBorders>
            <w:shd w:val="clear" w:color="auto" w:fill="DBDBDB"/>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4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3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4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52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Potentially dilutive securities:</w:t>
            </w:r>
          </w:p>
        </w:tc>
        <w:tc>
          <w:tcPr>
            <w:tcW w:w="2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stock options and unvested stock awards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4,522,299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2,630,711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3,938,203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-1656080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-1801495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ind w:left="340" w:right="120" w:hanging="332"/>
        <w:spacing w:after="0" w:line="282" w:lineRule="auto"/>
        <w:tabs>
          <w:tab w:leader="none" w:pos="36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calculations of the weighted-average number of shares issuable related to the Ka’ena Acquisition earnout (“Ka’ena Shares”) are based on the 20 trading day volume-weighted average price as of September 30, 2026 and 2025, respectively, as further described below.</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2026, we had authorized 100 million shares of preferred stock, with a par value of $0.00001 per share. There was no preferred stock outstanding as of September 30, 2026 and 2025. Potentially dilutive securities were not included in the computation of diluted earnings per share if to do so would have been anti-dilutive.</w:t>
      </w:r>
    </w:p>
    <w:p>
      <w:pPr>
        <w:spacing w:after="0" w:line="20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Ka’ena Shares were previously contingent consideration for the Ka’ena Acquisition. On June 30, 2025, we amended the Merger and Unit Purchase Agreement to set the calculation of the earnout as the difference between the maximum purchase price of $1.35 billion and the upfront payment, as adjusted, and removed the requirement for Ka’ena to achieve specified performance indicators. The Ka’ena Shares issuable are included in the calculations of basic weighted-average shares outstanding for the three and nine months ended September 30, 2026, and the calculations of basic and diluted weighted-average shares outstanding for the three and nine months ended September 30, 2025. Subsequent to September 30, 2026, on October 9, 2026, 1,510,371 shares of T-Mobile common stock were issued as part of the satisfaction of our $420 million earnout obligation.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Sprint Merger Commitments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connection with the regulatory proceedings and approvals of the Sprint Merger pursuant to the Business Combination Agreement with Sprint and the other parties named therein (as amended, the “Business Combination Agreement”) and the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transactions contemplated by the Business Combination Agreement, we have commitments and other obligations to various state and federal agencies and certain nongovernmental organizations, including pursuant to the Consent Decree agreed to by us, DT, Sprint, SoftBank Group Corp. (“SoftBank”) and DISH Network Corporation (“DISH”) and entered by the U.S. District Court for the District of Columbia, and the FCC’s memorandum opinion and order approving our applications for approval of the Sprint Merger. These commitments and obligations include, among other things, extensive 5G network build-out commitments, obligations to deliver high-speed wireless services to the vast majority of Americans, including Americans residing in rural areas, the marketing of an in-home broadband product where spectrum capacity is available and national security commitments. Many of the commitments specify time frames for compliance and reporting. Failure to fulfill our obligations and commitments in a timely manner could result in substantial fines, penalties, or other legal and administrative actions.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Regulatory Matters</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involved in various lawsuits and disputes, claims, government agency investigations and enforcement actions, and other proceedings (“Litigation and Regulatory Matters”) that arise in the ordinary course of business, which include claims of patent infringement (most of which are asserted by non-practicing entities primarily seeking monetary damages), class actions, and proceedings to enforce FCC or other government agency rules and regulations. Those Litigation and Regulatory Matters are at various stages, and some of them may proceed to trial, arbitration, hearing, or other adjudication that could result in fines, penalties, or awards of monetary or injunctive relief in the coming 12 months if they are not otherwise resolved. We have established an accrual with respect to certain of these matters, where appropriate. The accruals are reflected on our condensed consolidated financial statements, but they are not considered to be, individually or in the aggregate, material. An accrual is established when we believe it is both probable that a loss has been incurred and an amount can be reasonably estimated. For other matters, where we have not determined that a loss is probable or because the amount of loss cannot be reasonably estimated, we have not recorded an accrual due to various factors typical in contested proceedings, including, but not limited to, uncertainty concerning legal theories and their resolution by courts or regulators, uncertain damage theories and demands, and a less than fully developed factual record. For Litigation and Regulatory Matters that may result in a contingent gain, we recognize such gains on our condensed consolidated financial statements when the gain is realized or realizable. We recognize legal costs expected to be incurred in connection with Litigation and Regulatory Matters as they are incurred. Except as otherwise specified below, we do not expect that the ultimate resolution of these Litigation and Regulatory Matters, individually or in the aggregate, will have a material adverse effect on our financial position, but we note that an unfavorable outcome of some or all of the specific matters identified below, or other matters that we are or may become involved in could have a material adverse impact on results of operations or cash flows for a particular period. This assessment is based on our current understanding of relevant facts and circumstances. As such, our view of these matters is subject to inherent uncertainties and may change in the future.</w:t>
      </w: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February 28, 2020, T-Mobile and Sprint each received a Notice of Apparent Liability for Forfeiture and Admonishment from the FCC, which proposed a penalty for allegedly violating section 222 of the Communications Act and the FCC’s regulations governing the privacy of customer information. On April 29, 2024, the FCC issued Forfeiture Orders against T-Mobile and Sprint that largely adopted the allegations and conclusions of the Notices of Apparent Liability and imposed penalties on T-Mobile and Sprint. T-Mobile and Sprint paid those penalties under protest, and on June 27, 2024, T-Mobile and Sprint filed Petitions for Review challenging the FCC’s Forfeiture Orders in the United States Court of Appeals for the District of Columbia. On August 15, 2025, a panel of three judges denied the petitions for review. On January 23, 2026, the Court of Appeals denied T-Mobile’s petitions for rehearing and rehearing en banc. T-Mobile filed a petition for a writ of certiorari with the United States Supreme Court, which remains pending. We are unable to predict the potential outcome of those proceedings.</w:t>
      </w:r>
    </w:p>
    <w:p>
      <w:pPr>
        <w:spacing w:after="0" w:line="21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 xml:space="preserve">On June 1, 2021, a putative shareholder class action and derivative lawsuit was filed in the Delaware Court of Chancery, </w:t>
      </w:r>
      <w:r>
        <w:rPr>
          <w:rFonts w:ascii="Times New Roman" w:cs="Times New Roman" w:eastAsia="Times New Roman" w:hAnsi="Times New Roman"/>
          <w:sz w:val="18"/>
          <w:szCs w:val="18"/>
          <w:i w:val="1"/>
          <w:iCs w:val="1"/>
          <w:color w:val="auto"/>
        </w:rPr>
        <w:t>Dinkevich v. Deutsche Telekom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 et al.</w:t>
      </w:r>
      <w:r>
        <w:rPr>
          <w:rFonts w:ascii="Times New Roman" w:cs="Times New Roman" w:eastAsia="Times New Roman" w:hAnsi="Times New Roman"/>
          <w:sz w:val="18"/>
          <w:szCs w:val="18"/>
          <w:color w:val="auto"/>
        </w:rPr>
        <w:t>, Case No. C.A. No. 2021-0479, against DT, SoftBank and certain of our current and former officers and directors, asserting breach of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claims relating to the repricing amendment to the Business Combination Agreement and to SoftBank’s monetization of its T-Mobile shares. We are also named as a nominal defendant in the case. We are unable to predict the potential outcome of these claims.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12, 2021, we became aware of a cybersecurity issue involving unauthorized access to T-Mobile’s systems (the “August 2021 cyberattack”). Our investigation uncovered that the perpetrator had illegally gained access to certain areas of our systems on or about March 18, 2021, but only gained access to and took data of current, former, and prospective customers beginning on or about August 3,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As a result of the August 2021 cyberattack, we have become subject to numerous lawsuits, including mass arbitration claims and multiple class action lawsuits that have been filed in numerous jurisdictions seeking, among other things, unspecified monetary damages, costs and attorneys’ fees arising out of the August 2021 cyberattack. In December 2021, the Judicial Panel on Multidistrict Litigation consolidated the federal class action lawsuits in the U.S. District Court for the Western District of Missouri under the caption </w:t>
      </w:r>
      <w:r>
        <w:rPr>
          <w:rFonts w:ascii="Times New Roman" w:cs="Times New Roman" w:eastAsia="Times New Roman" w:hAnsi="Times New Roman"/>
          <w:sz w:val="18"/>
          <w:szCs w:val="18"/>
          <w:i w:val="1"/>
          <w:iCs w:val="1"/>
          <w:color w:val="auto"/>
        </w:rPr>
        <w:t>In re: T-Mobile Customer Data Security Breach Litigation</w:t>
      </w:r>
      <w:r>
        <w:rPr>
          <w:rFonts w:ascii="Times New Roman" w:cs="Times New Roman" w:eastAsia="Times New Roman" w:hAnsi="Times New Roman"/>
          <w:sz w:val="18"/>
          <w:szCs w:val="18"/>
          <w:color w:val="auto"/>
        </w:rPr>
        <w:t>, Case No. 21-md-3019-BCW. On July 22, 2022, we entered into an agreement to settle the lawsuit. On June 29, 2023, the Court issued an order granting final approval of the settlement. All appeals have been resolved, and the settlement is now final. Under the terms of the settlement, we have paid an aggregate of $350 million to fund claims submitted by class members, the legal fees of plaintiffs’ counsel and the costs of administering the settlement. As required under the terms of the settlement, we have spent an aggregate of $150 million for data security and related technology in 2022 and 2023. The settlement provides a full release of all claims arising out of the August 2021 cyberattack by class members who did not opt out, against all defendants, including us, our subsidiaries and affiliates, and our directors and officers. The settlement contains no admission of liability, wrongdoing or responsibility by any of the defendants.</w:t>
      </w:r>
    </w:p>
    <w:p>
      <w:pPr>
        <w:spacing w:after="0" w:line="2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anticipate that this settlement of the class action, along with other settlements of separate consumer claims that have been previously completed or are currently pending, will resolve substantially all of the claims brought to date by our current, former and prospective customers who were impacted by the August 2021 cyberattack. In connection with the class action settlement and the separate settlements, we recorded a total pre-tax charge of approximately $400 million in the second quarter of 2022.</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also received inquiries and contested legal proceedings from various government agencies, law enforcement and other governmental authorities related to the August 2021 cyberattack, which could result in substantial fines or penalties. We reached an agreement with the FCC, which was announced on September 30, 2024, to resolve one of those inquiries. We will continue to respond to the other agencies and regulators inquiring about the matter with an aim to resolve all of these matters. While we hope to resolve them in the near term, we cannot predict the timing or outcome of any of these matters or whether we may be subject to further regulatory inquiries, investigations, or legal or enforcement actions.</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light of the inherent uncertainties involved in such matters, and based on the information currently available to us, in addition to the previously recorded pre-tax charge of approximately $400 million noted above, we believe it is reasonably possible that we could incur additional losses associated with these proceedings and inquiries, and we will continue to evaluate information as it becomes known and will record an estimate for losses at the time or times when it is both probable that a loss has been incurred and the amount of the loss is reasonably estimable. Ongoing legal and other costs related to these proceedings and inquiries, as well as any potential future actions, may be substantial, and losses associated with any adverse judgments, settlements, penalties or other resolutions of such proceedings and inquiries could be material to our business, reputation, financial condition, cash flows and operating results.</w:t>
      </w:r>
    </w:p>
    <w:p>
      <w:pPr>
        <w:spacing w:after="0" w:line="2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On June 17, 2022, plaintiffs filed a putative antitrust class action complaint in the Northern District of Illinois, </w:t>
      </w:r>
      <w:r>
        <w:rPr>
          <w:rFonts w:ascii="Times New Roman" w:cs="Times New Roman" w:eastAsia="Times New Roman" w:hAnsi="Times New Roman"/>
          <w:sz w:val="18"/>
          <w:szCs w:val="18"/>
          <w:i w:val="1"/>
          <w:iCs w:val="1"/>
          <w:color w:val="auto"/>
        </w:rPr>
        <w:t>Dale, et al. v. Deutsche Telekom AG, et al.</w:t>
      </w:r>
      <w:r>
        <w:rPr>
          <w:rFonts w:ascii="Times New Roman" w:cs="Times New Roman" w:eastAsia="Times New Roman" w:hAnsi="Times New Roman"/>
          <w:sz w:val="18"/>
          <w:szCs w:val="18"/>
          <w:color w:val="auto"/>
        </w:rPr>
        <w:t>, Case No. 1:22-cv-03189, against DT, T-Mobile, and SoftBank, alleging that the Sprint Merger violated the antitrust laws and harmed competition in the U.S. retail cell service market. Plaintiffs seek injunctive relief and trebled monetary damages on behalf of a purported class of AT&amp;T and Verizon customers whom plaintiffs allege paid artificially inflated prices due to the Sprint Merger. We are vigorously defending this lawsuit, but we are unable to predict the potential outcome.</w:t>
      </w:r>
    </w:p>
    <w:p>
      <w:pPr>
        <w:spacing w:after="0" w:line="2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January 5, 2023, we identified that a bad actor was obtaining data through a single Application Programming Interface (“API”) without authorization. Based on our investigation, the impacted API is only able to provide a limited set of customer account data, including name, billing address, email, phone number, date of birth, T-Mobile account number and information, such as the number of lines on the account and plan features. The result from our investigation indicates that the bad actor(s) obtained data from this API for approximately 37 million current postpaid and prepaid customer accounts, though many of these accounts did not include the full data set. We believe that the bad actor first retrieved data through the impacted API starting on or around November 25, 2022. We have notified individuals whose information was impacted consistent with state and federal requirements.</w:t>
      </w:r>
    </w:p>
    <w:p>
      <w:pPr>
        <w:spacing w:after="0" w:line="2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January 2023 cyberattack, we became subject to consumer class actions and regulatory inquiries. The consumer class actions have been dismissed without prejudice. We will continue to respond to regulatory inquiries and may incur significant expenses in connection with these matters. We cannot predict the timing or outcome of any of these potential matters or whether we may be subject to additional legal proceedings, claims, regulatory inquiries, investigations, or enforcement actions.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On February 25, 2025, a purported Company shareholder filed a putative class action and derivative lawsuit in the Delaware Court of Chancery under the caption </w:t>
      </w:r>
      <w:r>
        <w:rPr>
          <w:rFonts w:ascii="Times New Roman" w:cs="Times New Roman" w:eastAsia="Times New Roman" w:hAnsi="Times New Roman"/>
          <w:sz w:val="18"/>
          <w:szCs w:val="18"/>
          <w:i w:val="1"/>
          <w:iCs w:val="1"/>
          <w:color w:val="auto"/>
        </w:rPr>
        <w:t>Palkon v. Deutsche Telekom AG, et al.</w:t>
      </w:r>
      <w:r>
        <w:rPr>
          <w:rFonts w:ascii="Times New Roman" w:cs="Times New Roman" w:eastAsia="Times New Roman" w:hAnsi="Times New Roman"/>
          <w:sz w:val="18"/>
          <w:szCs w:val="18"/>
          <w:color w:val="auto"/>
        </w:rPr>
        <w:t>, Case No. 2025-0211-PAF, against four DT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entities, our current directors, and certain of our former directors, asserting breach of fiduciary duty and unjust enrichment claims relating to our 2022 Stock Repurchase Program and our 2023-2024 Stockholder Return Program. We are also named as a nominal defendant in the lawsuit. We are unable to predict the potential outcome of these claims.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Restructuring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UScellular Acquisition Restructuring Initiatives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completing the UScellular Acquisition on August 1, 2025, we began implementing restructuring initiatives to realize cost efficiencies and eliminate redundancies. The major activities associated with the UScellular Acquisition restructuring initiatives include contract termination costs associated with the rationalization of retail stores, distribution channels, duplicative network and backhaul services and other agreements, severance costs associated with the integration of redundant processes and functions and the decommissioning of certain cell sites and distributed antenna systems to achieve synergies in network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restructuring expenses incurred in connection with our UScellular Acquisition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20" w:type="dxa"/>
            <w:vAlign w:val="bottom"/>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4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66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20" w:type="dxa"/>
            <w:vAlign w:val="bottom"/>
          </w:tcPr>
          <w:p>
            <w:pPr>
              <w:spacing w:after="0"/>
              <w:rPr>
                <w:sz w:val="14"/>
                <w:szCs w:val="14"/>
                <w:color w:val="auto"/>
              </w:rPr>
            </w:pPr>
          </w:p>
        </w:tc>
        <w:tc>
          <w:tcPr>
            <w:tcW w:w="260" w:type="dxa"/>
            <w:vAlign w:val="bottom"/>
            <w:shd w:val="clear" w:color="auto" w:fill="E20074"/>
          </w:tcPr>
          <w:p>
            <w:pPr>
              <w:spacing w:after="0"/>
              <w:rPr>
                <w:sz w:val="14"/>
                <w:szCs w:val="14"/>
                <w:color w:val="auto"/>
              </w:rPr>
            </w:pPr>
          </w:p>
        </w:tc>
        <w:tc>
          <w:tcPr>
            <w:tcW w:w="1600" w:type="dxa"/>
            <w:vAlign w:val="bottom"/>
            <w:vMerge w:val="restart"/>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Incurred to Date</w:t>
            </w:r>
          </w:p>
        </w:tc>
        <w:tc>
          <w:tcPr>
            <w:tcW w:w="0" w:type="dxa"/>
            <w:vAlign w:val="bottom"/>
          </w:tcPr>
          <w:p>
            <w:pPr>
              <w:spacing w:after="0"/>
              <w:rPr>
                <w:sz w:val="1"/>
                <w:szCs w:val="1"/>
                <w:color w:val="auto"/>
              </w:rPr>
            </w:pPr>
          </w:p>
        </w:tc>
      </w:tr>
      <w:tr>
        <w:trPr>
          <w:trHeight w:val="200"/>
        </w:trPr>
        <w:tc>
          <w:tcPr>
            <w:tcW w:w="5440" w:type="dxa"/>
            <w:vAlign w:val="bottom"/>
            <w:vMerge w:val="continue"/>
          </w:tcPr>
          <w:p>
            <w:pPr>
              <w:spacing w:after="0"/>
              <w:rPr>
                <w:sz w:val="17"/>
                <w:szCs w:val="17"/>
                <w:color w:val="auto"/>
              </w:rPr>
            </w:pPr>
          </w:p>
        </w:tc>
        <w:tc>
          <w:tcPr>
            <w:tcW w:w="1620" w:type="dxa"/>
            <w:vAlign w:val="bottom"/>
            <w:shd w:val="clear" w:color="auto" w:fill="E20074"/>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24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66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12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600" w:type="dxa"/>
            <w:vAlign w:val="bottom"/>
            <w:vMerge w:val="continue"/>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Contract termination costs</w:t>
            </w:r>
          </w:p>
        </w:tc>
        <w:tc>
          <w:tcPr>
            <w:tcW w:w="1620" w:type="dxa"/>
            <w:vAlign w:val="bottom"/>
            <w:tcBorders>
              <w:bottom w:val="single" w:sz="8" w:color="DBDBDB"/>
            </w:tcBorders>
            <w:shd w:val="clear" w:color="auto" w:fill="DBDBDB"/>
          </w:tcPr>
          <w:p>
            <w:pPr>
              <w:jc w:val="right"/>
              <w:ind w:right="14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80" w:type="dxa"/>
            <w:vAlign w:val="bottom"/>
            <w:tcBorders>
              <w:bottom w:val="single" w:sz="8" w:color="DBDBDB"/>
            </w:tcBorders>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Severance costs</w:t>
            </w:r>
          </w:p>
        </w:tc>
        <w:tc>
          <w:tcPr>
            <w:tcW w:w="16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Network decommissioning</w:t>
            </w:r>
          </w:p>
        </w:tc>
        <w:tc>
          <w:tcPr>
            <w:tcW w:w="16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7"/>
        </w:trPr>
        <w:tc>
          <w:tcPr>
            <w:tcW w:w="5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restructuring plan expenses</w:t>
            </w:r>
          </w:p>
        </w:tc>
        <w:tc>
          <w:tcPr>
            <w:tcW w:w="1620" w:type="dxa"/>
            <w:vAlign w:val="bottom"/>
            <w:tcBorders>
              <w:top w:val="single" w:sz="8" w:color="auto"/>
              <w:bottom w:val="single" w:sz="8" w:color="auto"/>
            </w:tcBorders>
          </w:tcPr>
          <w:p>
            <w:pPr>
              <w:jc w:val="right"/>
              <w:ind w:right="14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restructuring expenses associated with our UScellular Acquisition restructuring initiatives are included in Cost of services and Selling, general and administrative expenses on our Condensed Consolidated Statements of Comprehensive Income.</w:t>
      </w:r>
    </w:p>
    <w:p>
      <w:pPr>
        <w:spacing w:after="0" w:line="189"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Our UScellular Acquisition restructuring initiatives also include the acceleration or termination of certain of our operating leases for cell sites, switch sites and retail stores. Incremental expenses associated with terminated leases and leases for which we have recognized accelerated lease expense were</w:t>
      </w:r>
    </w:p>
    <w:p>
      <w:pPr>
        <w:spacing w:after="0" w:line="1"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$10 million and $321 million for the three and nine months ended September 30, 2026, respectively, compared to no accelerated lease expenses incurred during the three and nine months ended September 30, 2025. These expenses are included in Cost of services and Selling, general and administrative expenses on our Condensed Consolidated Statements of Comprehensive Income.</w:t>
      </w:r>
    </w:p>
    <w:p>
      <w:pPr>
        <w:spacing w:after="0" w:line="20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Additionally, we recognized $242 million of accelerated depreciation for the nine months ended September 30, 2026, primarily related to assets associated with the decommissioning of cell sites, compared to no accelerated depreciation incurred during the three months ended September 30, 2026 and 2025, and the nine months ended September 30, 2025. These expenses are included in Depreciation and amortization on our Condensed Consolidated Statements of Comprehensive Income.</w:t>
      </w:r>
    </w:p>
    <w:p>
      <w:pPr>
        <w:spacing w:after="0" w:line="218"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8"/>
          <w:szCs w:val="18"/>
          <w:color w:val="auto"/>
        </w:rPr>
        <w:t>The changes in the liabilities associated with our UScellular Acquisition restructuring initiatives, including restructuring expenses incurred and cash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240" w:type="dxa"/>
            <w:vAlign w:val="bottom"/>
            <w:shd w:val="clear" w:color="auto" w:fill="E20074"/>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320" w:type="dxa"/>
            <w:vAlign w:val="bottom"/>
            <w:vMerge w:val="restart"/>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Expenses Incurred</w:t>
            </w:r>
          </w:p>
        </w:tc>
        <w:tc>
          <w:tcPr>
            <w:tcW w:w="100" w:type="dxa"/>
            <w:vAlign w:val="bottom"/>
          </w:tcPr>
          <w:p>
            <w:pPr>
              <w:spacing w:after="0"/>
              <w:rPr>
                <w:sz w:val="14"/>
                <w:szCs w:val="14"/>
                <w:color w:val="auto"/>
              </w:rPr>
            </w:pPr>
          </w:p>
        </w:tc>
        <w:tc>
          <w:tcPr>
            <w:tcW w:w="180" w:type="dxa"/>
            <w:vAlign w:val="bottom"/>
            <w:shd w:val="clear" w:color="auto" w:fill="E20074"/>
          </w:tcPr>
          <w:p>
            <w:pPr>
              <w:spacing w:after="0"/>
              <w:rPr>
                <w:sz w:val="14"/>
                <w:szCs w:val="14"/>
                <w:color w:val="auto"/>
              </w:rPr>
            </w:pPr>
          </w:p>
        </w:tc>
        <w:tc>
          <w:tcPr>
            <w:tcW w:w="1260" w:type="dxa"/>
            <w:vAlign w:val="bottom"/>
            <w:vMerge w:val="restart"/>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Cash Payments</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18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4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32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26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Contract termination costs</w:t>
            </w:r>
          </w:p>
        </w:tc>
        <w:tc>
          <w:tcPr>
            <w:tcW w:w="1180" w:type="dxa"/>
            <w:vAlign w:val="bottom"/>
            <w:tcBorders>
              <w:bottom w:val="single" w:sz="8" w:color="DBDBDB"/>
            </w:tcBorders>
            <w:shd w:val="clear" w:color="auto" w:fill="DBDBDB"/>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80" w:type="dxa"/>
            <w:vAlign w:val="bottom"/>
            <w:tcBorders>
              <w:bottom w:val="single" w:sz="8" w:color="DBDBDB"/>
            </w:tcBorders>
            <w:gridSpan w:val="2"/>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Severance costs</w:t>
            </w:r>
          </w:p>
        </w:tc>
        <w:tc>
          <w:tcPr>
            <w:tcW w:w="11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Network decommissioning</w:t>
            </w:r>
          </w:p>
        </w:tc>
        <w:tc>
          <w:tcPr>
            <w:tcW w:w="118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7"/>
        </w:trPr>
        <w:tc>
          <w:tcPr>
            <w:tcW w:w="5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18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liabilities accrued in connection with our UScellular Acquisition restructuring initiatives are presented in Accounts payable and accrued liabilities on our Condensed Consolidated Balance Sheets.</w:t>
      </w:r>
    </w:p>
    <w:p>
      <w:pPr>
        <w:spacing w:after="0" w:line="18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expect to incur substantially all costs related to our UScellular Acquisition restructuring activities by the end of fiscal year 2027. We are evaluating additional restructuring initiatives associated with the UScellular Acquisition, which are dependent on consultations and negotiations with certain counterparties and the expected impact on our business operations, which could affect the amount or timing of the restructuring costs and related payments.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Restructuring Initiative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technological advancements have enhanced our Customer-Driven Coverage insights, enabling us to identify, assess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shut down low customer value sites. In the fourth quarter of 2025, we began implementing restructuring initiatives to identify and realize these cost savings on our network, excluding activities associated with the UScellular Acquisition (the “Network Restructuring Initiative”). The major activities associated with the Network Restructuring Initiative include the rationalization of network and backhaul services and the decommissioning of cell sites and distributed antenna systems to reduce our overall network cost.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restructuring expenses incurred in connection with our Network Restructuring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20" w:type="dxa"/>
            <w:vAlign w:val="bottom"/>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4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66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20" w:type="dxa"/>
            <w:vAlign w:val="bottom"/>
          </w:tcPr>
          <w:p>
            <w:pPr>
              <w:spacing w:after="0"/>
              <w:rPr>
                <w:sz w:val="14"/>
                <w:szCs w:val="14"/>
                <w:color w:val="auto"/>
              </w:rPr>
            </w:pPr>
          </w:p>
        </w:tc>
        <w:tc>
          <w:tcPr>
            <w:tcW w:w="260" w:type="dxa"/>
            <w:vAlign w:val="bottom"/>
            <w:shd w:val="clear" w:color="auto" w:fill="E20074"/>
          </w:tcPr>
          <w:p>
            <w:pPr>
              <w:spacing w:after="0"/>
              <w:rPr>
                <w:sz w:val="14"/>
                <w:szCs w:val="14"/>
                <w:color w:val="auto"/>
              </w:rPr>
            </w:pPr>
          </w:p>
        </w:tc>
        <w:tc>
          <w:tcPr>
            <w:tcW w:w="1600" w:type="dxa"/>
            <w:vAlign w:val="bottom"/>
            <w:vMerge w:val="restart"/>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Incurred to Date</w:t>
            </w:r>
          </w:p>
        </w:tc>
        <w:tc>
          <w:tcPr>
            <w:tcW w:w="0" w:type="dxa"/>
            <w:vAlign w:val="bottom"/>
          </w:tcPr>
          <w:p>
            <w:pPr>
              <w:spacing w:after="0"/>
              <w:rPr>
                <w:sz w:val="1"/>
                <w:szCs w:val="1"/>
                <w:color w:val="auto"/>
              </w:rPr>
            </w:pPr>
          </w:p>
        </w:tc>
      </w:tr>
      <w:tr>
        <w:trPr>
          <w:trHeight w:val="200"/>
        </w:trPr>
        <w:tc>
          <w:tcPr>
            <w:tcW w:w="5440" w:type="dxa"/>
            <w:vAlign w:val="bottom"/>
            <w:vMerge w:val="continue"/>
          </w:tcPr>
          <w:p>
            <w:pPr>
              <w:spacing w:after="0"/>
              <w:rPr>
                <w:sz w:val="17"/>
                <w:szCs w:val="17"/>
                <w:color w:val="auto"/>
              </w:rPr>
            </w:pPr>
          </w:p>
        </w:tc>
        <w:tc>
          <w:tcPr>
            <w:tcW w:w="1620" w:type="dxa"/>
            <w:vAlign w:val="bottom"/>
            <w:shd w:val="clear" w:color="auto" w:fill="E20074"/>
          </w:tcPr>
          <w:p>
            <w:pPr>
              <w:jc w:val="right"/>
              <w:ind w:right="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24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66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12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600" w:type="dxa"/>
            <w:vAlign w:val="bottom"/>
            <w:vMerge w:val="continue"/>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Contract termination costs</w:t>
            </w:r>
          </w:p>
        </w:tc>
        <w:tc>
          <w:tcPr>
            <w:tcW w:w="1620" w:type="dxa"/>
            <w:vAlign w:val="bottom"/>
            <w:tcBorders>
              <w:bottom w:val="single" w:sz="8" w:color="DBDBDB"/>
            </w:tcBorders>
            <w:shd w:val="clear" w:color="auto" w:fill="DBDBDB"/>
          </w:tcPr>
          <w:p>
            <w:pPr>
              <w:jc w:val="right"/>
              <w:ind w:right="14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80" w:type="dxa"/>
            <w:vAlign w:val="bottom"/>
            <w:tcBorders>
              <w:bottom w:val="single" w:sz="8" w:color="DBDBDB"/>
            </w:tcBorders>
            <w:gridSpan w:val="2"/>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Network decommissioning</w:t>
            </w:r>
          </w:p>
        </w:tc>
        <w:tc>
          <w:tcPr>
            <w:tcW w:w="16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3"/>
        </w:trPr>
        <w:tc>
          <w:tcPr>
            <w:tcW w:w="5440" w:type="dxa"/>
            <w:vAlign w:val="bottom"/>
            <w:tcBorders>
              <w:bottom w:val="single" w:sz="8" w:color="DBDBDB"/>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 restructuring plan expenses</w:t>
            </w:r>
          </w:p>
        </w:tc>
        <w:tc>
          <w:tcPr>
            <w:tcW w:w="1620" w:type="dxa"/>
            <w:vAlign w:val="bottom"/>
            <w:tcBorders>
              <w:bottom w:val="single" w:sz="8" w:color="auto"/>
            </w:tcBorders>
            <w:shd w:val="clear" w:color="auto" w:fill="DBDBDB"/>
          </w:tcPr>
          <w:p>
            <w:pPr>
              <w:jc w:val="right"/>
              <w:ind w:right="14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restructuring expenses associated with our Network Restructuring Initiative are included in Cost of services on our Condensed Consolidated Statements of Comprehensive Income.</w:t>
      </w:r>
    </w:p>
    <w:p>
      <w:pPr>
        <w:spacing w:after="0" w:line="189"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color w:val="auto"/>
        </w:rPr>
        <w:t>The changes in the liabilities associated with our Network Restructuring Initiative, including restructuring expenses incurred and cash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240" w:type="dxa"/>
            <w:vAlign w:val="bottom"/>
            <w:shd w:val="clear" w:color="auto" w:fill="E20074"/>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320" w:type="dxa"/>
            <w:vAlign w:val="bottom"/>
            <w:vMerge w:val="restart"/>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Expenses Incurred</w:t>
            </w:r>
          </w:p>
        </w:tc>
        <w:tc>
          <w:tcPr>
            <w:tcW w:w="100" w:type="dxa"/>
            <w:vAlign w:val="bottom"/>
          </w:tcPr>
          <w:p>
            <w:pPr>
              <w:spacing w:after="0"/>
              <w:rPr>
                <w:sz w:val="14"/>
                <w:szCs w:val="14"/>
                <w:color w:val="auto"/>
              </w:rPr>
            </w:pPr>
          </w:p>
        </w:tc>
        <w:tc>
          <w:tcPr>
            <w:tcW w:w="160" w:type="dxa"/>
            <w:vAlign w:val="bottom"/>
            <w:shd w:val="clear" w:color="auto" w:fill="E20074"/>
          </w:tcPr>
          <w:p>
            <w:pPr>
              <w:spacing w:after="0"/>
              <w:rPr>
                <w:sz w:val="14"/>
                <w:szCs w:val="14"/>
                <w:color w:val="auto"/>
              </w:rPr>
            </w:pPr>
          </w:p>
        </w:tc>
        <w:tc>
          <w:tcPr>
            <w:tcW w:w="1260" w:type="dxa"/>
            <w:vAlign w:val="bottom"/>
            <w:vMerge w:val="restart"/>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Cash Payments</w:t>
            </w:r>
          </w:p>
        </w:tc>
        <w:tc>
          <w:tcPr>
            <w:tcW w:w="100" w:type="dxa"/>
            <w:vAlign w:val="bottom"/>
          </w:tcPr>
          <w:p>
            <w:pPr>
              <w:spacing w:after="0"/>
              <w:rPr>
                <w:sz w:val="14"/>
                <w:szCs w:val="14"/>
                <w:color w:val="auto"/>
              </w:rPr>
            </w:pPr>
          </w:p>
        </w:tc>
        <w:tc>
          <w:tcPr>
            <w:tcW w:w="1520" w:type="dxa"/>
            <w:vAlign w:val="bottom"/>
            <w:gridSpan w:val="2"/>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Adjustments for Non-</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116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24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32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shd w:val="clear" w:color="auto" w:fill="E20074"/>
          </w:tcPr>
          <w:p>
            <w:pPr>
              <w:spacing w:after="0"/>
              <w:rPr>
                <w:sz w:val="17"/>
                <w:szCs w:val="17"/>
                <w:color w:val="auto"/>
              </w:rPr>
            </w:pPr>
          </w:p>
        </w:tc>
        <w:tc>
          <w:tcPr>
            <w:tcW w:w="126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1300" w:type="dxa"/>
            <w:vAlign w:val="bottom"/>
            <w:shd w:val="clear" w:color="auto" w:fill="E20074"/>
          </w:tcPr>
          <w:p>
            <w:pPr>
              <w:jc w:val="center"/>
              <w:ind w:right="148"/>
              <w:spacing w:after="0"/>
              <w:rPr>
                <w:sz w:val="20"/>
                <w:szCs w:val="20"/>
                <w:color w:val="auto"/>
              </w:rPr>
            </w:pPr>
            <w:r>
              <w:rPr>
                <w:rFonts w:ascii="Times New Roman" w:cs="Times New Roman" w:eastAsia="Times New Roman" w:hAnsi="Times New Roman"/>
                <w:sz w:val="14"/>
                <w:szCs w:val="14"/>
                <w:b w:val="1"/>
                <w:bCs w:val="1"/>
                <w:color w:val="FFFFFF"/>
              </w:rPr>
              <w:t xml:space="preserve">Cash Items </w:t>
            </w:r>
            <w:r>
              <w:rPr>
                <w:rFonts w:ascii="Times New Roman" w:cs="Times New Roman" w:eastAsia="Times New Roman" w:hAnsi="Times New Roman"/>
                <w:sz w:val="9"/>
                <w:szCs w:val="9"/>
                <w:b w:val="1"/>
                <w:bCs w:val="1"/>
                <w:color w:val="FFFFFF"/>
              </w:rPr>
              <w:t>(1)</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Contract termination costs</w:t>
            </w:r>
          </w:p>
        </w:tc>
        <w:tc>
          <w:tcPr>
            <w:tcW w:w="1160" w:type="dxa"/>
            <w:vAlign w:val="bottom"/>
            <w:tcBorders>
              <w:bottom w:val="single" w:sz="8" w:color="DBDBDB"/>
            </w:tcBorders>
            <w:shd w:val="clear" w:color="auto" w:fill="DBDBDB"/>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20" w:type="dxa"/>
            <w:vAlign w:val="bottom"/>
            <w:tcBorders>
              <w:bottom w:val="single" w:sz="8" w:color="DBDBDB"/>
            </w:tcBorders>
            <w:gridSpan w:val="2"/>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DBDBDB"/>
            </w:tcBorders>
            <w:shd w:val="clear" w:color="auto" w:fill="DBDBDB"/>
          </w:tcPr>
          <w:p>
            <w:pPr>
              <w:jc w:val="center"/>
              <w:ind w:left="968"/>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Network decommissioning</w:t>
            </w:r>
          </w:p>
        </w:tc>
        <w:tc>
          <w:tcPr>
            <w:tcW w:w="1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3"/>
        </w:trPr>
        <w:tc>
          <w:tcPr>
            <w:tcW w:w="3620" w:type="dxa"/>
            <w:vAlign w:val="bottom"/>
            <w:tcBorders>
              <w:bottom w:val="single" w:sz="8" w:color="DBDBDB"/>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20" w:type="dxa"/>
            <w:vAlign w:val="bottom"/>
            <w:tcBorders>
              <w:bottom w:val="single" w:sz="8" w:color="DBDBDB"/>
            </w:tcBorders>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Borders>
              <w:bottom w:val="single" w:sz="8" w:color="auto"/>
            </w:tcBorders>
            <w:shd w:val="clear" w:color="auto" w:fill="DBDBDB"/>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DBDBDB"/>
          </w:tcPr>
          <w:p>
            <w:pPr>
              <w:jc w:val="center"/>
              <w:ind w:left="9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Non-cash items primarily consist of the write-off of assets within Network decommissioning.</w:t>
      </w:r>
    </w:p>
    <w:p>
      <w:pPr>
        <w:spacing w:after="0" w:line="26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liabilities accrued in connection with our Network Restructuring Initiative are presented in Accounts payable and accrued liabilities on our Condensed Consolidated Balance Sheets.</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Network Restructuring Initiative is expected to be completed prior to the end of 2027. We are evaluating additional restructuring activities associated with the Network Restructuring Initiative, which are dependent on consultations and negotiations with certain counterparties and the expected impact on our business operations, which could affect the amount or timing of the restructuring costs and related payments.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2025-2026 Workforce Transformation</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the fourth quarter of 2025, we began implementing a restructuring initiative to streamline operations by centralizing leaders and teams, reducing organizational layers and eliminating duplicative roles (the “2025-2026 Workforce Transformation”).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restructuring expenses incurred in connection with our 2025-2026 Workforce Transformation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20" w:type="dxa"/>
            <w:vAlign w:val="bottom"/>
            <w:shd w:val="clear" w:color="auto" w:fill="E20074"/>
          </w:tcPr>
          <w:p>
            <w:pPr>
              <w:jc w:val="center"/>
              <w:ind w:left="168"/>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4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660" w:type="dxa"/>
            <w:vAlign w:val="bottom"/>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20" w:type="dxa"/>
            <w:vAlign w:val="bottom"/>
          </w:tcPr>
          <w:p>
            <w:pPr>
              <w:spacing w:after="0"/>
              <w:rPr>
                <w:sz w:val="14"/>
                <w:szCs w:val="14"/>
                <w:color w:val="auto"/>
              </w:rPr>
            </w:pPr>
          </w:p>
        </w:tc>
        <w:tc>
          <w:tcPr>
            <w:tcW w:w="260" w:type="dxa"/>
            <w:vAlign w:val="bottom"/>
            <w:shd w:val="clear" w:color="auto" w:fill="E20074"/>
          </w:tcPr>
          <w:p>
            <w:pPr>
              <w:spacing w:after="0"/>
              <w:rPr>
                <w:sz w:val="14"/>
                <w:szCs w:val="14"/>
                <w:color w:val="auto"/>
              </w:rPr>
            </w:pPr>
          </w:p>
        </w:tc>
        <w:tc>
          <w:tcPr>
            <w:tcW w:w="1600" w:type="dxa"/>
            <w:vAlign w:val="bottom"/>
            <w:vMerge w:val="restart"/>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Incurred to Date</w:t>
            </w:r>
          </w:p>
        </w:tc>
        <w:tc>
          <w:tcPr>
            <w:tcW w:w="0" w:type="dxa"/>
            <w:vAlign w:val="bottom"/>
          </w:tcPr>
          <w:p>
            <w:pPr>
              <w:spacing w:after="0"/>
              <w:rPr>
                <w:sz w:val="1"/>
                <w:szCs w:val="1"/>
                <w:color w:val="auto"/>
              </w:rPr>
            </w:pPr>
          </w:p>
        </w:tc>
      </w:tr>
      <w:tr>
        <w:trPr>
          <w:trHeight w:val="200"/>
        </w:trPr>
        <w:tc>
          <w:tcPr>
            <w:tcW w:w="5440" w:type="dxa"/>
            <w:vAlign w:val="bottom"/>
            <w:vMerge w:val="continue"/>
          </w:tcPr>
          <w:p>
            <w:pPr>
              <w:spacing w:after="0"/>
              <w:rPr>
                <w:sz w:val="17"/>
                <w:szCs w:val="17"/>
                <w:color w:val="auto"/>
              </w:rPr>
            </w:pPr>
          </w:p>
        </w:tc>
        <w:tc>
          <w:tcPr>
            <w:tcW w:w="1620" w:type="dxa"/>
            <w:vAlign w:val="bottom"/>
            <w:shd w:val="clear" w:color="auto" w:fill="E20074"/>
          </w:tcPr>
          <w:p>
            <w:pPr>
              <w:jc w:val="center"/>
              <w:ind w:left="18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24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660" w:type="dxa"/>
            <w:vAlign w:val="bottom"/>
            <w:shd w:val="clear" w:color="auto" w:fill="E20074"/>
          </w:tcPr>
          <w:p>
            <w:pPr>
              <w:ind w:left="140"/>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12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600" w:type="dxa"/>
            <w:vAlign w:val="bottom"/>
            <w:vMerge w:val="continue"/>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Severance costs</w:t>
            </w:r>
          </w:p>
        </w:tc>
        <w:tc>
          <w:tcPr>
            <w:tcW w:w="1620" w:type="dxa"/>
            <w:vAlign w:val="bottom"/>
            <w:shd w:val="clear" w:color="auto" w:fill="DBDBDB"/>
          </w:tcPr>
          <w:p>
            <w:pPr>
              <w:jc w:val="right"/>
              <w:ind w:right="14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6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380" w:type="dxa"/>
            <w:vAlign w:val="bottom"/>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3"/>
        </w:trPr>
        <w:tc>
          <w:tcPr>
            <w:tcW w:w="5440" w:type="dxa"/>
            <w:vAlign w:val="bottom"/>
            <w:shd w:val="clear" w:color="auto" w:fill="DBDBDB"/>
          </w:tcPr>
          <w:p>
            <w:pPr>
              <w:spacing w:after="0"/>
              <w:rPr>
                <w:sz w:val="2"/>
                <w:szCs w:val="2"/>
                <w:color w:val="auto"/>
              </w:rPr>
            </w:pPr>
          </w:p>
        </w:tc>
        <w:tc>
          <w:tcPr>
            <w:tcW w:w="16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6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restructuring expenses associated with our 2025-2026 Workforce Transformation initiative are included in Cost of services and Selling, general and administrative expenses on our Condensed Consolidated Statements of Comprehensive Income.</w:t>
      </w:r>
    </w:p>
    <w:p>
      <w:pPr>
        <w:spacing w:after="0" w:line="189"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8"/>
          <w:szCs w:val="18"/>
          <w:color w:val="auto"/>
        </w:rPr>
        <w:t>The changes in the liabilities associated with our 2025-2026 Workforce Transformation initiative, including restructuring expenses incurred and cash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E20074"/>
          </w:tcPr>
          <w:p>
            <w:pPr>
              <w:spacing w:after="0"/>
              <w:rPr>
                <w:sz w:val="14"/>
                <w:szCs w:val="14"/>
                <w:color w:val="auto"/>
              </w:rPr>
            </w:pPr>
          </w:p>
        </w:tc>
        <w:tc>
          <w:tcPr>
            <w:tcW w:w="1240" w:type="dxa"/>
            <w:vAlign w:val="bottom"/>
            <w:shd w:val="clear" w:color="auto" w:fill="E20074"/>
          </w:tcPr>
          <w:p>
            <w:pPr>
              <w:jc w:val="center"/>
              <w:ind w:right="1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120" w:type="dxa"/>
            <w:vAlign w:val="bottom"/>
          </w:tcPr>
          <w:p>
            <w:pPr>
              <w:spacing w:after="0"/>
              <w:rPr>
                <w:sz w:val="14"/>
                <w:szCs w:val="14"/>
                <w:color w:val="auto"/>
              </w:rPr>
            </w:pPr>
          </w:p>
        </w:tc>
        <w:tc>
          <w:tcPr>
            <w:tcW w:w="100" w:type="dxa"/>
            <w:vAlign w:val="bottom"/>
            <w:shd w:val="clear" w:color="auto" w:fill="E20074"/>
          </w:tcPr>
          <w:p>
            <w:pPr>
              <w:spacing w:after="0"/>
              <w:rPr>
                <w:sz w:val="14"/>
                <w:szCs w:val="14"/>
                <w:color w:val="auto"/>
              </w:rPr>
            </w:pPr>
          </w:p>
        </w:tc>
        <w:tc>
          <w:tcPr>
            <w:tcW w:w="1320" w:type="dxa"/>
            <w:vAlign w:val="bottom"/>
            <w:vMerge w:val="restart"/>
            <w:shd w:val="clear" w:color="auto" w:fill="E20074"/>
          </w:tcPr>
          <w:p>
            <w:pPr>
              <w:jc w:val="right"/>
              <w:ind w:right="68"/>
              <w:spacing w:after="0"/>
              <w:rPr>
                <w:sz w:val="20"/>
                <w:szCs w:val="20"/>
                <w:color w:val="auto"/>
              </w:rPr>
            </w:pPr>
            <w:r>
              <w:rPr>
                <w:rFonts w:ascii="Times New Roman" w:cs="Times New Roman" w:eastAsia="Times New Roman" w:hAnsi="Times New Roman"/>
                <w:sz w:val="14"/>
                <w:szCs w:val="14"/>
                <w:b w:val="1"/>
                <w:bCs w:val="1"/>
                <w:color w:val="FFFFFF"/>
              </w:rPr>
              <w:t>Expenses Incurred</w:t>
            </w:r>
          </w:p>
        </w:tc>
        <w:tc>
          <w:tcPr>
            <w:tcW w:w="100" w:type="dxa"/>
            <w:vAlign w:val="bottom"/>
          </w:tcPr>
          <w:p>
            <w:pPr>
              <w:spacing w:after="0"/>
              <w:rPr>
                <w:sz w:val="14"/>
                <w:szCs w:val="14"/>
                <w:color w:val="auto"/>
              </w:rPr>
            </w:pPr>
          </w:p>
        </w:tc>
        <w:tc>
          <w:tcPr>
            <w:tcW w:w="180" w:type="dxa"/>
            <w:vAlign w:val="bottom"/>
            <w:shd w:val="clear" w:color="auto" w:fill="E20074"/>
          </w:tcPr>
          <w:p>
            <w:pPr>
              <w:spacing w:after="0"/>
              <w:rPr>
                <w:sz w:val="14"/>
                <w:szCs w:val="14"/>
                <w:color w:val="auto"/>
              </w:rPr>
            </w:pPr>
          </w:p>
        </w:tc>
        <w:tc>
          <w:tcPr>
            <w:tcW w:w="1260" w:type="dxa"/>
            <w:vAlign w:val="bottom"/>
            <w:vMerge w:val="restart"/>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Cash Payments</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center"/>
              <w:ind w:right="12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0" w:type="dxa"/>
            <w:vAlign w:val="bottom"/>
          </w:tcPr>
          <w:p>
            <w:pPr>
              <w:spacing w:after="0"/>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32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26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0" w:type="dxa"/>
            <w:vAlign w:val="bottom"/>
          </w:tcPr>
          <w:p>
            <w:pPr>
              <w:spacing w:after="0"/>
              <w:rPr>
                <w:sz w:val="1"/>
                <w:szCs w:val="1"/>
                <w:color w:val="auto"/>
              </w:rPr>
            </w:pPr>
          </w:p>
        </w:tc>
      </w:tr>
      <w:tr>
        <w:trPr>
          <w:trHeight w:val="206"/>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Severance costs</w:t>
            </w:r>
          </w:p>
        </w:tc>
        <w:tc>
          <w:tcPr>
            <w:tcW w:w="180" w:type="dxa"/>
            <w:vAlign w:val="bottom"/>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20" w:type="dxa"/>
            <w:vAlign w:val="bottom"/>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80" w:type="dxa"/>
            <w:vAlign w:val="bottom"/>
            <w:gridSpan w:val="2"/>
            <w:shd w:val="clear" w:color="auto" w:fill="DBDBDB"/>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30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4"/>
        </w:trPr>
        <w:tc>
          <w:tcPr>
            <w:tcW w:w="52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liabilities accrued in connection with our 2025-2026 Workforce Transformation initiative are presented in Accounts payable and accrued liabilities on our Condensed Consolidated Balance Sheets.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incurred substantially all of the costs associated with our 2025-2026 Workforce Transformation. We expect substantially all remaining associated employee separations and related cash outflows to occur throughout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Initiatives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our ongoing digital initiatives to simplify routine transactions, as well as enhance customer experiences by transitioning in part to large-format experience stores, we began closing certain dealer- and corporate-owned stores in the second quarter of 2026. Costs associated with the closure of stores acquired in the UScellular Acquisition are included within UScellular Acquisition restructuring initiatives.</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Restructuring expenses incurred in connection with these retail initiatives include contract termination, severance and store decommissioning costs. During the three and nine months ended September 30, 2026, we recorded a pre-tax charge of $31 million and $133 million, respectively, related to these retail initiatives, which is included in Selling, general and administrative expenses on our Condensed Consolidated Statements of Comprehensive Income. Our liabilities associated with our retail initiatives as of September 30, 2026, were $40 million and are presented in Accounts payable and accrued liabilities on our Condensed Consolidated Balance Sheets.</w:t>
      </w: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evaluating additional restructuring activities associated with our retail initiatives, which are dependent on negotiations with certain counterparties and the expected impact on our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Additional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0"/>
        </w:trPr>
        <w:tc>
          <w:tcPr>
            <w:tcW w:w="8260" w:type="dxa"/>
            <w:vAlign w:val="bottom"/>
            <w:vMerge w:val="continue"/>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other taxes, including payroll</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Payroll and related benefits</w:t>
            </w: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216"/>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 overdrafts included in Accounts payable were $394 million and $823 million as of September 30, 2026 and December 31, 2025,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Supplemental Condensed Consolidated Statements of Cash Flows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T-Mobile’s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20" w:type="dxa"/>
            <w:vAlign w:val="bottom"/>
            <w:shd w:val="clear" w:color="auto" w:fill="E20074"/>
          </w:tcPr>
          <w:p>
            <w:pPr>
              <w:spacing w:after="0"/>
              <w:rPr>
                <w:sz w:val="19"/>
                <w:szCs w:val="19"/>
                <w:color w:val="auto"/>
              </w:rPr>
            </w:pPr>
          </w:p>
        </w:tc>
        <w:tc>
          <w:tcPr>
            <w:tcW w:w="2720" w:type="dxa"/>
            <w:vAlign w:val="bottom"/>
            <w:gridSpan w:val="4"/>
            <w:shd w:val="clear" w:color="auto" w:fill="E20074"/>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Three Months Ended September 30,</w:t>
            </w:r>
          </w:p>
        </w:tc>
        <w:tc>
          <w:tcPr>
            <w:tcW w:w="80" w:type="dxa"/>
            <w:vAlign w:val="bottom"/>
          </w:tcPr>
          <w:p>
            <w:pPr>
              <w:spacing w:after="0"/>
              <w:rPr>
                <w:sz w:val="19"/>
                <w:szCs w:val="19"/>
                <w:color w:val="auto"/>
              </w:rPr>
            </w:pPr>
          </w:p>
        </w:tc>
        <w:tc>
          <w:tcPr>
            <w:tcW w:w="260" w:type="dxa"/>
            <w:vAlign w:val="bottom"/>
            <w:shd w:val="clear" w:color="auto" w:fill="E20074"/>
          </w:tcPr>
          <w:p>
            <w:pPr>
              <w:spacing w:after="0"/>
              <w:rPr>
                <w:sz w:val="19"/>
                <w:szCs w:val="19"/>
                <w:color w:val="auto"/>
              </w:rPr>
            </w:pPr>
          </w:p>
        </w:tc>
        <w:tc>
          <w:tcPr>
            <w:tcW w:w="2720" w:type="dxa"/>
            <w:vAlign w:val="bottom"/>
            <w:gridSpan w:val="4"/>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Nine Months Ended September 30,</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E20074"/>
            </w:tcBorders>
            <w:shd w:val="clear" w:color="auto" w:fill="E20074"/>
          </w:tcPr>
          <w:p>
            <w:pPr>
              <w:spacing w:after="0"/>
              <w:rPr>
                <w:sz w:val="18"/>
                <w:szCs w:val="18"/>
                <w:color w:val="auto"/>
              </w:rPr>
            </w:pPr>
          </w:p>
        </w:tc>
        <w:tc>
          <w:tcPr>
            <w:tcW w:w="118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8"/>
                <w:szCs w:val="18"/>
                <w:color w:val="auto"/>
              </w:rPr>
            </w:pPr>
          </w:p>
        </w:tc>
        <w:tc>
          <w:tcPr>
            <w:tcW w:w="320" w:type="dxa"/>
            <w:vAlign w:val="bottom"/>
            <w:tcBorders>
              <w:bottom w:val="single" w:sz="8" w:color="E20074"/>
            </w:tcBorders>
            <w:shd w:val="clear" w:color="auto" w:fill="E20074"/>
          </w:tcPr>
          <w:p>
            <w:pPr>
              <w:spacing w:after="0"/>
              <w:rPr>
                <w:sz w:val="18"/>
                <w:szCs w:val="18"/>
                <w:color w:val="auto"/>
              </w:rPr>
            </w:pPr>
          </w:p>
        </w:tc>
        <w:tc>
          <w:tcPr>
            <w:tcW w:w="1100" w:type="dxa"/>
            <w:vAlign w:val="bottom"/>
            <w:tcBorders>
              <w:bottom w:val="single" w:sz="8" w:color="E20074"/>
            </w:tcBorders>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8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118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1100" w:type="dxa"/>
            <w:vAlign w:val="bottom"/>
            <w:tcBorders>
              <w:bottom w:val="single" w:sz="8" w:color="E20074"/>
            </w:tcBorders>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Interest payments, net of amounts capitalized</w:t>
            </w:r>
          </w:p>
        </w:tc>
        <w:tc>
          <w:tcPr>
            <w:tcW w:w="22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440" w:type="dxa"/>
            <w:vAlign w:val="bottom"/>
            <w:tcBorders>
              <w:bottom w:val="single" w:sz="8" w:color="DDDDDD"/>
            </w:tcBorders>
            <w:gridSpan w:val="2"/>
            <w:shd w:val="clear" w:color="auto" w:fill="DDDDDD"/>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34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440" w:type="dxa"/>
            <w:vAlign w:val="bottom"/>
            <w:tcBorders>
              <w:bottom w:val="single" w:sz="8" w:color="DDDDDD"/>
            </w:tcBorders>
            <w:gridSpan w:val="2"/>
            <w:shd w:val="clear" w:color="auto" w:fill="DDDDDD"/>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payments</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Income tax payments, net of refunds received</w:t>
            </w:r>
          </w:p>
        </w:tc>
        <w:tc>
          <w:tcPr>
            <w:tcW w:w="22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240" w:type="dxa"/>
            <w:vAlign w:val="bottom"/>
            <w:shd w:val="clear" w:color="auto" w:fill="DDDDDD"/>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accounts payable and accrued liabilities for purchases of property and</w:t>
            </w:r>
          </w:p>
        </w:tc>
        <w:tc>
          <w:tcPr>
            <w:tcW w:w="220" w:type="dxa"/>
            <w:vAlign w:val="bottom"/>
            <w:vMerge w:val="restart"/>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40" w:type="dxa"/>
            <w:vAlign w:val="bottom"/>
            <w:gridSpan w:val="2"/>
            <w:vMerge w:val="restart"/>
            <w:shd w:val="clear" w:color="auto" w:fill="DDDDDD"/>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340" w:type="dxa"/>
            <w:vAlign w:val="bottom"/>
            <w:gridSpan w:val="2"/>
            <w:vMerge w:val="restart"/>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440" w:type="dxa"/>
            <w:vAlign w:val="bottom"/>
            <w:gridSpan w:val="2"/>
            <w:vMerge w:val="restart"/>
            <w:shd w:val="clear" w:color="auto" w:fill="DDDDDD"/>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203"/>
        </w:trPr>
        <w:tc>
          <w:tcPr>
            <w:tcW w:w="524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220" w:type="dxa"/>
            <w:vAlign w:val="bottom"/>
            <w:vMerge w:val="continue"/>
            <w:shd w:val="clear" w:color="auto" w:fill="DDDDDD"/>
          </w:tcPr>
          <w:p>
            <w:pPr>
              <w:spacing w:after="0"/>
              <w:rPr>
                <w:sz w:val="17"/>
                <w:szCs w:val="17"/>
                <w:color w:val="auto"/>
              </w:rPr>
            </w:pPr>
          </w:p>
        </w:tc>
        <w:tc>
          <w:tcPr>
            <w:tcW w:w="1180" w:type="dxa"/>
            <w:vAlign w:val="bottom"/>
            <w:vMerge w:val="continue"/>
            <w:shd w:val="clear" w:color="auto" w:fill="DDDDDD"/>
          </w:tcPr>
          <w:p>
            <w:pPr>
              <w:spacing w:after="0"/>
              <w:rPr>
                <w:sz w:val="17"/>
                <w:szCs w:val="17"/>
                <w:color w:val="auto"/>
              </w:rPr>
            </w:pPr>
          </w:p>
        </w:tc>
        <w:tc>
          <w:tcPr>
            <w:tcW w:w="440" w:type="dxa"/>
            <w:vAlign w:val="bottom"/>
            <w:gridSpan w:val="2"/>
            <w:vMerge w:val="continue"/>
            <w:shd w:val="clear" w:color="auto" w:fill="DDDDDD"/>
          </w:tcPr>
          <w:p>
            <w:pPr>
              <w:spacing w:after="0"/>
              <w:rPr>
                <w:sz w:val="17"/>
                <w:szCs w:val="17"/>
                <w:color w:val="auto"/>
              </w:rPr>
            </w:pPr>
          </w:p>
        </w:tc>
        <w:tc>
          <w:tcPr>
            <w:tcW w:w="1100" w:type="dxa"/>
            <w:vAlign w:val="bottom"/>
            <w:vMerge w:val="continue"/>
            <w:shd w:val="clear" w:color="auto" w:fill="DDDDDD"/>
          </w:tcPr>
          <w:p>
            <w:pPr>
              <w:spacing w:after="0"/>
              <w:rPr>
                <w:sz w:val="17"/>
                <w:szCs w:val="17"/>
                <w:color w:val="auto"/>
              </w:rPr>
            </w:pPr>
          </w:p>
        </w:tc>
        <w:tc>
          <w:tcPr>
            <w:tcW w:w="340" w:type="dxa"/>
            <w:vAlign w:val="bottom"/>
            <w:gridSpan w:val="2"/>
            <w:vMerge w:val="continue"/>
            <w:shd w:val="clear" w:color="auto" w:fill="DDDDDD"/>
          </w:tcPr>
          <w:p>
            <w:pPr>
              <w:spacing w:after="0"/>
              <w:rPr>
                <w:sz w:val="17"/>
                <w:szCs w:val="17"/>
                <w:color w:val="auto"/>
              </w:rPr>
            </w:pPr>
          </w:p>
        </w:tc>
        <w:tc>
          <w:tcPr>
            <w:tcW w:w="1180" w:type="dxa"/>
            <w:vAlign w:val="bottom"/>
            <w:vMerge w:val="continue"/>
            <w:shd w:val="clear" w:color="auto" w:fill="DDDDDD"/>
          </w:tcPr>
          <w:p>
            <w:pPr>
              <w:spacing w:after="0"/>
              <w:rPr>
                <w:sz w:val="17"/>
                <w:szCs w:val="17"/>
                <w:color w:val="auto"/>
              </w:rPr>
            </w:pPr>
          </w:p>
        </w:tc>
        <w:tc>
          <w:tcPr>
            <w:tcW w:w="440" w:type="dxa"/>
            <w:vAlign w:val="bottom"/>
            <w:gridSpan w:val="2"/>
            <w:vMerge w:val="continue"/>
            <w:shd w:val="clear" w:color="auto" w:fill="DDDDDD"/>
          </w:tcPr>
          <w:p>
            <w:pPr>
              <w:spacing w:after="0"/>
              <w:rPr>
                <w:sz w:val="17"/>
                <w:szCs w:val="17"/>
                <w:color w:val="auto"/>
              </w:rPr>
            </w:pPr>
          </w:p>
        </w:tc>
        <w:tc>
          <w:tcPr>
            <w:tcW w:w="110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lease obligations</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Financing lease right-of-use assets obtained in exchange for lease obligations</w:t>
            </w:r>
          </w:p>
        </w:tc>
        <w:tc>
          <w:tcPr>
            <w:tcW w:w="22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0" w:type="dxa"/>
            <w:vAlign w:val="bottom"/>
          </w:tcPr>
          <w:p>
            <w:pPr>
              <w:spacing w:after="0"/>
              <w:rPr>
                <w:sz w:val="1"/>
                <w:szCs w:val="1"/>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assumed in the UScellular Acquisition</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-1176020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-1322070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Index for Notes to the Condensed Consolidated Financial Statements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Including Restricted Cash</w:t>
      </w:r>
    </w:p>
    <w:p>
      <w:pPr>
        <w:spacing w:after="0" w:line="25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Cash and cash equivalents, including restricted cash, presented on our Condensed Consolidated Statements of Cash Flows were included on our Condensed Consolidated Balance Sheets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24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200"/>
        </w:trPr>
        <w:tc>
          <w:tcPr>
            <w:tcW w:w="8260" w:type="dxa"/>
            <w:vAlign w:val="bottom"/>
            <w:vMerge w:val="continue"/>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240" w:type="dxa"/>
            <w:vAlign w:val="bottom"/>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DBDBDB"/>
            </w:tcBorders>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5,620</w:t>
            </w:r>
          </w:p>
        </w:tc>
        <w:tc>
          <w:tcPr>
            <w:tcW w:w="300" w:type="dxa"/>
            <w:vAlign w:val="bottom"/>
            <w:tcBorders>
              <w:bottom w:val="single" w:sz="8" w:color="DBDBDB"/>
            </w:tcBorders>
            <w:gridSpan w:val="2"/>
            <w:shd w:val="clear" w:color="auto" w:fill="DBDBDB"/>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 Other current assets)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Restricted cash (included in Other assets)</w:t>
            </w:r>
          </w:p>
        </w:tc>
        <w:tc>
          <w:tcPr>
            <w:tcW w:w="2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7"/>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 including restricted cash</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October 1, 2026, we completed the joint acquisition of i3 Broadband. See </w:t>
      </w:r>
      <w:r>
        <w:rPr>
          <w:rFonts w:ascii="Times New Roman" w:cs="Times New Roman" w:eastAsia="Times New Roman" w:hAnsi="Times New Roman"/>
          <w:sz w:val="18"/>
          <w:szCs w:val="18"/>
          <w:u w:val="single" w:color="auto"/>
          <w:color w:val="0000FF"/>
        </w:rPr>
        <w:t>Note 3 – Joint Ventures</w:t>
      </w:r>
      <w:r>
        <w:rPr>
          <w:rFonts w:ascii="Times New Roman" w:cs="Times New Roman" w:eastAsia="Times New Roman" w:hAnsi="Times New Roman"/>
          <w:sz w:val="18"/>
          <w:szCs w:val="18"/>
          <w:color w:val="auto"/>
        </w:rPr>
        <w:t xml:space="preserve"> for additional information.</w:t>
      </w:r>
    </w:p>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On October 9, 2026, we transferred $164 million in cash and 1,510,371 shares of T-Mobile common stock in satisfaction of our $420 million Ka’ena Acquisition earnout obligation.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From October 1, 2026, through October 23, 2026, we repurchased 4,987,500 shares of our common stock at an average price per share of $158.68 for a total purchase price of $791 million. See </w:t>
      </w:r>
      <w:r>
        <w:rPr>
          <w:rFonts w:ascii="Times New Roman" w:cs="Times New Roman" w:eastAsia="Times New Roman" w:hAnsi="Times New Roman"/>
          <w:sz w:val="18"/>
          <w:szCs w:val="18"/>
          <w:u w:val="single" w:color="auto"/>
          <w:color w:val="0000FF"/>
        </w:rPr>
        <w:t>Note 12 – Stockholder Return Program</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This Quarterly Report on Form 10-Q (“Form 10-Q”) of T-Mobile US, Inc. (“T-Mobile,” “we,” “our,” “us” or the “Company”) includes forward-looking statements within the meaning of the Private Securities Litigation Reform Act of 1995.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Risk Factors included in Part I, Item 1A of our Annual Report on Form 10-K for the year ended December 31, 2025, and </w:t>
      </w:r>
      <w:r>
        <w:rPr>
          <w:rFonts w:ascii="Times New Roman" w:cs="Times New Roman" w:eastAsia="Times New Roman" w:hAnsi="Times New Roman"/>
          <w:sz w:val="18"/>
          <w:szCs w:val="18"/>
          <w:u w:val="single" w:color="auto"/>
          <w:color w:val="0000FF"/>
        </w:rPr>
        <w:t>Part II, Item 1A</w:t>
      </w:r>
      <w:r>
        <w:rPr>
          <w:rFonts w:ascii="Times New Roman" w:cs="Times New Roman" w:eastAsia="Times New Roman" w:hAnsi="Times New Roman"/>
          <w:sz w:val="18"/>
          <w:szCs w:val="18"/>
          <w:color w:val="auto"/>
        </w:rPr>
        <w:t xml:space="preserve"> of this Form 10-Q, could affect future results and cause those results to differ materially from those expressed in the forward-looking statements:</w:t>
      </w:r>
    </w:p>
    <w:p>
      <w:pPr>
        <w:spacing w:after="0" w:line="21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industry consolidation and changes in the market for wireless communications services and other forms of connectivity;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disruptions, data loss or other security breaches;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adopt and deploy network technologies in a timely and effective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execute our digital initiatives and drive customer and employee adoption of emerging technologies;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or motivate key personnel, hire qualified personnel or maintain our corporate culture;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and business disruptions, allowing for unauthorized use of or interference with our network and other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scarcity and cost of additional wireless spectrum, and regulations relating to spectrum use;</w:t>
      </w:r>
    </w:p>
    <w:p>
      <w:pPr>
        <w:spacing w:after="0" w:line="63" w:lineRule="exact"/>
        <w:rPr>
          <w:rFonts w:ascii="Times New Roman" w:cs="Times New Roman" w:eastAsia="Times New Roman" w:hAnsi="Times New Roman"/>
          <w:sz w:val="18"/>
          <w:szCs w:val="18"/>
          <w:color w:val="auto"/>
        </w:rPr>
      </w:pPr>
    </w:p>
    <w:p>
      <w:pPr>
        <w:ind w:left="660" w:hanging="328"/>
        <w:spacing w:after="0" w:line="298"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effects of any pending and future acquisition, investment, joint venture, merger, or divestiture involving us, including our inability to obtain any required regulatory approval necessary to consummate any such transactions or to achieve the expected benefits of such transactions;</w:t>
      </w:r>
    </w:p>
    <w:p>
      <w:pPr>
        <w:ind w:left="660" w:right="2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political or market conditions in the U.S. and international markets, including changes resulting from increases in oil prices, inflation or interest rates, tariffs and trade restrictions, supply chain disruptions, fluctuations in global currencies, immigration policies, and impacts of geopolitical instability, such as global conflict, wars and further escalations thereof;</w:t>
      </w:r>
    </w:p>
    <w:p>
      <w:pPr>
        <w:spacing w:after="0" w:line="13"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delays, higher procurement costs, such as memory chip cost impacts on smartphones, and operational costs, and increased regulatory and compliance complexities, for example, as a result of changes to trade policies, including higher tariffs, restrictions and other economic disincentives to trade;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deliver new products and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inability of our third parties (including key suppliers) to provide products or services for the operation of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volatility and polarization and risks related to environmental, social and governance matters;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level of indebtedness and our inability to service our debt obligations in accordance with their terms;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 market conditions, credit rating downgrades or an inability to access debt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effective internal control over financial reporting;</w:t>
      </w:r>
    </w:p>
    <w:p>
      <w:pPr>
        <w:spacing w:after="0" w:line="63" w:lineRule="exact"/>
        <w:rPr>
          <w:rFonts w:ascii="Times New Roman" w:cs="Times New Roman" w:eastAsia="Times New Roman" w:hAnsi="Times New Roman"/>
          <w:sz w:val="18"/>
          <w:szCs w:val="18"/>
          <w:color w:val="auto"/>
        </w:rPr>
      </w:pPr>
    </w:p>
    <w:p>
      <w:pPr>
        <w:ind w:left="660" w:right="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current regulatory framework, including our national security obligations, and any changes in regulations or in the regulatory framework under which we operate;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relating to the handling of privacy, data protection and artificial intelligence (“AI”);</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outcomes of and increased costs from existing or future regulatory or legal proceedings;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our intellectual property rights or if we infringe on the intellectual property rights of others;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offering of regulated financial services products and exposure to a wide variety of state and federal regulations;</w:t>
      </w:r>
    </w:p>
    <w:p>
      <w:pPr>
        <w:spacing w:after="0" w:line="63"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amended tax laws or regulations or administrative interpretations and judicial decisions affecting the scope or application of tax laws or regulations;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wireless licenses, including those controlled through leasing agreements, are subject to renewal and may be revoked;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as provided in our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of Deutsche Telekom AG (“DT”), our controlling stockholder, which may differ from the interests of other stockholders;</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stockholder return programs may not be fully utilized, and our share repurchases and dividend payments pursuant thereto may fail to have the desired impact on stockholder value;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DT and our inability to attract additional equity financing outside the United States due to foreign ownership limitations by the Federal Communications Commission (“FCC”).</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such forward-looking statements. We undertake no obligation to revise or publicly release the results of any revision to these forward-looking statements, except as required by law.</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our investor relations website (https://investor.t-mobile.com), newsroom website (https://t-mobile.com/news), press releases, SEC filings and public conference calls and webcasts. We intend to also use certain social media accounts as a means of disclosing information about us and our services and for complying with our disclosure obligations under Regulation FD (the @TMobileIR X account (https://x.com/TMobileIR), the @SriniGopalan X account (https://x.com/SriniGopalan) and our CEO’s LinkedIn account (https://www.linkedin.com/in/srini-gopalan/), both of which Mr. Gopalan also uses as a means for personal communications and observations, and the @TMobileCFO X account (https://x.com/tmobilecfo) and our Chief Financial Officer’s LinkedIn account (https://www.linkedin.com/in/peter-osvaldik-3887394), both of which Mr. Osvaldik also uses as a means for personal communications and observations). The information we post through these social media channels may be deemed material. Accordingly, investors should monitor these social media channels in addition to following our press releases, SEC filings and public conference calls and webcasts. The social media channels that we intend to use as a means of disclosing the information described above may be updated from time to time as listed on our investor relations website.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objectives of our Management’s Discussion and Analysis of Financial Condition and Results of Operations (“MD&amp;A”) are to provide users of our condensed consolidated financial statements with the following:</w:t>
      </w:r>
    </w:p>
    <w:p>
      <w:pPr>
        <w:spacing w:after="0" w:line="189" w:lineRule="exact"/>
        <w:rPr>
          <w:sz w:val="20"/>
          <w:szCs w:val="20"/>
          <w:color w:val="auto"/>
        </w:rPr>
      </w:pPr>
    </w:p>
    <w:p>
      <w:pPr>
        <w:ind w:left="660" w:right="3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narrative explanation from the perspective of management of our financial condition, results of operations, cash flows, liquidity and certain other factors that may affect future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Context to the condensed consolidated financial statements;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allows assessment of the likelihood that past performance is indicative of future performance.</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Our MD&amp;A is provided as a supplement to, and should be read together with, our unaudited condensed consolidated financial statements as of and for the three and nine months ended September 30, 2026, included in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of this Form 10-Q, and audited consolidated financial statements, included in Part II, Item 8 of our Annual Report on Form 10-K for the year ended December 31, 2025. Except as expressly stated, the financial condition and results of operations discussed throughout our MD&amp;A are those of T-Mobile US, Inc. and its consolidated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UScellular Wireless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Overview</w:t>
      </w:r>
    </w:p>
    <w:p>
      <w:pPr>
        <w:spacing w:after="0" w:line="25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August 1, 2025 (the “UScellular Acquisition Date”), we completed the acquisition (the “UScellular Acquisition”) of substantially all of United States Cellular Corporation’s (“UScellular”) wireless operations and select spectrum assets and the acquisition of substantially all of the wireless operations assets of each of Farmers Cellular Telephone Company, Inc., Iowa RSA No. 9 Limited Partnership and Iowa RSA No. 12 Limited Partnership (collectively, the “UScellular Wireless Business”). In exchange, on the UScellular Acquisition Date, we transferred cash of $2.8 billion. Additionally, the closing of the UScellular Acquisition obligated us to execute exchange offers, which were launched on May 23, 2025 (the “Exchange Offers”). On August 5, 2025, we executed the Exchange Offers of certain senior notes of UScellular with an aggregate outstanding principal balance of $1.7 billion for T-Mobile notes.</w:t>
      </w:r>
    </w:p>
    <w:p>
      <w:pPr>
        <w:spacing w:after="0" w:line="20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UScellular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UScellular Merger-Related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Merger-related costs associated with the UScellular Acquisition to date include:</w:t>
      </w:r>
    </w:p>
    <w:p>
      <w:pPr>
        <w:spacing w:after="0" w:line="252" w:lineRule="exact"/>
        <w:rPr>
          <w:sz w:val="20"/>
          <w:szCs w:val="20"/>
          <w:color w:val="auto"/>
        </w:rPr>
      </w:pPr>
    </w:p>
    <w:p>
      <w:pPr>
        <w:ind w:left="660" w:right="42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costs to achieve efficiencies in network, retail, information technology and back office operations and migrate customers to the T-Mobile network and billing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including contract terminations, severance and network decommissioning;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including legal and professional services related to the completion of the UScellular Acquisition.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15 – Restructuring Costs</w:t>
      </w:r>
      <w:r>
        <w:rPr>
          <w:rFonts w:ascii="Times New Roman" w:cs="Times New Roman" w:eastAsia="Times New Roman" w:hAnsi="Times New Roman"/>
          <w:sz w:val="18"/>
          <w:szCs w:val="18"/>
          <w:color w:val="auto"/>
        </w:rPr>
        <w:t xml:space="preserve"> of the Notes to the Condensed Consolidated Financial Statements for more information.</w:t>
      </w:r>
    </w:p>
    <w:p>
      <w:pPr>
        <w:spacing w:after="0" w:line="25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UScellular merger-related costs have been excluded from our calculations of Adjusted EBITDA and Core Adjusted EBITDA, which are non-GAAP financial measures, as we do not consider these costs to be reflective of our ongoing operating performance. See “Adjusted EBITDA and Core Adjusted EBITDA” in the “</w:t>
      </w:r>
      <w:r>
        <w:rPr>
          <w:rFonts w:ascii="Times New Roman" w:cs="Times New Roman" w:eastAsia="Times New Roman" w:hAnsi="Times New Roman"/>
          <w:sz w:val="18"/>
          <w:szCs w:val="18"/>
          <w:u w:val="single" w:color="auto"/>
          <w:color w:val="0000FF"/>
        </w:rPr>
        <w:t>Performance Measures</w:t>
      </w:r>
      <w:r>
        <w:rPr>
          <w:rFonts w:ascii="Times New Roman" w:cs="Times New Roman" w:eastAsia="Times New Roman" w:hAnsi="Times New Roman"/>
          <w:sz w:val="18"/>
          <w:szCs w:val="18"/>
          <w:color w:val="auto"/>
        </w:rPr>
        <w:t>” section of this MD&amp;A. Net cash payments for UScellular merger-related costs, including payments related to our restructuring plan, are included in Net cash provided by operating activities on our Condensed Consolidated Statements of Cash Flows and our calculation of Adjusted Free Cash Flow.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UScellular merger-related costs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20" w:type="dxa"/>
            <w:vAlign w:val="bottom"/>
          </w:tcPr>
          <w:p>
            <w:pPr>
              <w:spacing w:after="0"/>
              <w:rPr>
                <w:sz w:val="15"/>
                <w:szCs w:val="15"/>
                <w:color w:val="auto"/>
              </w:rPr>
            </w:pPr>
          </w:p>
        </w:tc>
        <w:tc>
          <w:tcPr>
            <w:tcW w:w="200" w:type="dxa"/>
            <w:vAlign w:val="bottom"/>
            <w:shd w:val="clear" w:color="auto" w:fill="E20074"/>
          </w:tcPr>
          <w:p>
            <w:pPr>
              <w:spacing w:after="0"/>
              <w:rPr>
                <w:sz w:val="15"/>
                <w:szCs w:val="15"/>
                <w:color w:val="auto"/>
              </w:rPr>
            </w:pPr>
          </w:p>
        </w:tc>
        <w:tc>
          <w:tcPr>
            <w:tcW w:w="1800" w:type="dxa"/>
            <w:vAlign w:val="bottom"/>
            <w:gridSpan w:val="4"/>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00" w:type="dxa"/>
            <w:vAlign w:val="bottom"/>
          </w:tcPr>
          <w:p>
            <w:pPr>
              <w:spacing w:after="0"/>
              <w:rPr>
                <w:sz w:val="15"/>
                <w:szCs w:val="15"/>
                <w:color w:val="auto"/>
              </w:rPr>
            </w:pPr>
          </w:p>
        </w:tc>
        <w:tc>
          <w:tcPr>
            <w:tcW w:w="260" w:type="dxa"/>
            <w:vAlign w:val="bottom"/>
            <w:shd w:val="clear" w:color="auto" w:fill="E20074"/>
          </w:tcPr>
          <w:p>
            <w:pPr>
              <w:spacing w:after="0"/>
              <w:rPr>
                <w:sz w:val="15"/>
                <w:szCs w:val="15"/>
                <w:color w:val="auto"/>
              </w:rPr>
            </w:pPr>
          </w:p>
        </w:tc>
        <w:tc>
          <w:tcPr>
            <w:tcW w:w="1140" w:type="dxa"/>
            <w:vAlign w:val="bottom"/>
            <w:gridSpan w:val="3"/>
            <w:vMerge w:val="restart"/>
            <w:shd w:val="clear" w:color="auto" w:fill="E20074"/>
          </w:tcPr>
          <w:p>
            <w:pPr>
              <w:ind w:left="56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E20074"/>
          </w:tcPr>
          <w:p>
            <w:pPr>
              <w:spacing w:after="0"/>
              <w:rPr>
                <w:sz w:val="15"/>
                <w:szCs w:val="15"/>
                <w:color w:val="auto"/>
              </w:rPr>
            </w:pPr>
          </w:p>
        </w:tc>
        <w:tc>
          <w:tcPr>
            <w:tcW w:w="1520" w:type="dxa"/>
            <w:vAlign w:val="bottom"/>
            <w:gridSpan w:val="3"/>
            <w:shd w:val="clear" w:color="auto" w:fill="E20074"/>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300" w:type="dxa"/>
            <w:vAlign w:val="bottom"/>
            <w:shd w:val="clear" w:color="auto" w:fill="E20074"/>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shd w:val="clear" w:color="auto" w:fill="E20074"/>
          </w:tcPr>
          <w:p>
            <w:pPr>
              <w:spacing w:after="0"/>
              <w:rPr>
                <w:sz w:val="15"/>
                <w:szCs w:val="15"/>
                <w:color w:val="auto"/>
              </w:rPr>
            </w:pPr>
          </w:p>
        </w:tc>
        <w:tc>
          <w:tcPr>
            <w:tcW w:w="1160" w:type="dxa"/>
            <w:vAlign w:val="bottom"/>
            <w:gridSpan w:val="3"/>
            <w:vMerge w:val="restart"/>
            <w:shd w:val="clear" w:color="auto" w:fill="E20074"/>
          </w:tcPr>
          <w:p>
            <w:pPr>
              <w:ind w:left="58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800" w:type="dxa"/>
            <w:vAlign w:val="bottom"/>
            <w:gridSpan w:val="4"/>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4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1520" w:type="dxa"/>
            <w:vAlign w:val="bottom"/>
            <w:gridSpan w:val="3"/>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30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6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2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6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660" w:type="dxa"/>
            <w:vAlign w:val="bottom"/>
            <w:tcBorders>
              <w:bottom w:val="single" w:sz="8" w:color="E20074"/>
            </w:tcBorders>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300" w:type="dxa"/>
            <w:vAlign w:val="bottom"/>
            <w:tcBorders>
              <w:bottom w:val="single" w:sz="8" w:color="E20074"/>
            </w:tcBorders>
            <w:shd w:val="clear" w:color="auto" w:fill="E20074"/>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6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UScellular merger-related costs</w:t>
            </w:r>
          </w:p>
        </w:tc>
        <w:tc>
          <w:tcPr>
            <w:tcW w:w="2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Cost of services, exclusive of depreciation</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760" w:type="dxa"/>
            <w:vAlign w:val="bottom"/>
            <w:gridSpan w:val="2"/>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3"/>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and amortization</w:t>
            </w: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20" w:type="dxa"/>
            <w:vAlign w:val="bottom"/>
            <w:shd w:val="clear" w:color="auto" w:fill="DBDBDB"/>
          </w:tcPr>
          <w:p>
            <w:pPr>
              <w:ind w:left="40"/>
              <w:spacing w:after="0" w:line="158" w:lineRule="exact"/>
              <w:rPr>
                <w:sz w:val="20"/>
                <w:szCs w:val="20"/>
                <w:color w:val="auto"/>
              </w:rPr>
            </w:pPr>
            <w:r>
              <w:rPr>
                <w:rFonts w:ascii="Times New Roman" w:cs="Times New Roman" w:eastAsia="Times New Roman" w:hAnsi="Times New Roman"/>
                <w:sz w:val="14"/>
                <w:szCs w:val="14"/>
                <w:color w:val="auto"/>
              </w:rPr>
              <w:t>Cost of equipment sales, exclusive of</w:t>
            </w:r>
          </w:p>
        </w:tc>
        <w:tc>
          <w:tcPr>
            <w:tcW w:w="20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140" w:type="dxa"/>
            <w:vAlign w:val="bottom"/>
            <w:gridSpan w:val="3"/>
            <w:vMerge w:val="restart"/>
            <w:shd w:val="clear" w:color="auto" w:fill="DBDBDB"/>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30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8"/>
        </w:trPr>
        <w:tc>
          <w:tcPr>
            <w:tcW w:w="2620" w:type="dxa"/>
            <w:vAlign w:val="bottom"/>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DBDBDB"/>
          </w:tcPr>
          <w:p>
            <w:pPr>
              <w:spacing w:after="0"/>
              <w:rPr>
                <w:sz w:val="17"/>
                <w:szCs w:val="17"/>
                <w:color w:val="auto"/>
              </w:rPr>
            </w:pPr>
          </w:p>
        </w:tc>
        <w:tc>
          <w:tcPr>
            <w:tcW w:w="7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40" w:type="dxa"/>
            <w:vAlign w:val="bottom"/>
            <w:gridSpan w:val="3"/>
            <w:vMerge w:val="continue"/>
            <w:shd w:val="clear" w:color="auto" w:fill="DBDBDB"/>
          </w:tcPr>
          <w:p>
            <w:pPr>
              <w:spacing w:after="0"/>
              <w:rPr>
                <w:sz w:val="17"/>
                <w:szCs w:val="17"/>
                <w:color w:val="auto"/>
              </w:rPr>
            </w:pPr>
          </w:p>
        </w:tc>
        <w:tc>
          <w:tcPr>
            <w:tcW w:w="72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3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70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72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gridSpan w:val="3"/>
            <w:shd w:val="clear" w:color="auto" w:fill="DBDBDB"/>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7"/>
        </w:trPr>
        <w:tc>
          <w:tcPr>
            <w:tcW w:w="2620" w:type="dxa"/>
            <w:vAlign w:val="bottom"/>
            <w:tcBorders>
              <w:bottom w:val="single" w:sz="8" w:color="DBDBDB"/>
            </w:tcBorders>
          </w:tcPr>
          <w:p>
            <w:pPr>
              <w:ind w:left="260"/>
              <w:spacing w:after="0"/>
              <w:rPr>
                <w:sz w:val="20"/>
                <w:szCs w:val="20"/>
                <w:color w:val="auto"/>
              </w:rPr>
            </w:pPr>
            <w:r>
              <w:rPr>
                <w:rFonts w:ascii="Times New Roman" w:cs="Times New Roman" w:eastAsia="Times New Roman" w:hAnsi="Times New Roman"/>
                <w:sz w:val="14"/>
                <w:szCs w:val="14"/>
                <w:color w:val="auto"/>
              </w:rPr>
              <w:t>Total UScellular merger-related costs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DBDBDB"/>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DBDBDB"/>
            </w:tcBorders>
          </w:tcPr>
          <w:p>
            <w:pPr>
              <w:spacing w:after="0"/>
              <w:rPr>
                <w:sz w:val="18"/>
                <w:szCs w:val="18"/>
                <w:color w:val="auto"/>
              </w:rPr>
            </w:pPr>
          </w:p>
        </w:tc>
        <w:tc>
          <w:tcPr>
            <w:tcW w:w="340" w:type="dxa"/>
            <w:vAlign w:val="bottom"/>
            <w:tcBorders>
              <w:bottom w:val="single" w:sz="8" w:color="DBDBDB"/>
            </w:tcBorders>
          </w:tcPr>
          <w:p>
            <w:pPr>
              <w:spacing w:after="0"/>
              <w:rPr>
                <w:sz w:val="18"/>
                <w:szCs w:val="18"/>
                <w:color w:val="auto"/>
              </w:rPr>
            </w:pPr>
          </w:p>
        </w:tc>
        <w:tc>
          <w:tcPr>
            <w:tcW w:w="7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Borders>
              <w:bottom w:val="single" w:sz="8" w:color="DBDBDB"/>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Borders>
              <w:bottom w:val="single" w:sz="8" w:color="DBDBDB"/>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bottom w:val="single" w:sz="8" w:color="DBDBDB"/>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Borders>
              <w:bottom w:val="single" w:sz="8" w:color="DBDBDB"/>
            </w:tcBorders>
          </w:tcPr>
          <w:p>
            <w:pPr>
              <w:spacing w:after="0"/>
              <w:rPr>
                <w:sz w:val="18"/>
                <w:szCs w:val="18"/>
                <w:color w:val="auto"/>
              </w:rPr>
            </w:pPr>
          </w:p>
        </w:tc>
        <w:tc>
          <w:tcPr>
            <w:tcW w:w="360" w:type="dxa"/>
            <w:vAlign w:val="bottom"/>
            <w:tcBorders>
              <w:bottom w:val="single" w:sz="8" w:color="DBDBDB"/>
            </w:tcBorders>
          </w:tcPr>
          <w:p>
            <w:pPr>
              <w:spacing w:after="0"/>
              <w:rPr>
                <w:sz w:val="18"/>
                <w:szCs w:val="18"/>
                <w:color w:val="auto"/>
              </w:rPr>
            </w:pPr>
          </w:p>
        </w:tc>
        <w:tc>
          <w:tcPr>
            <w:tcW w:w="720" w:type="dxa"/>
            <w:vAlign w:val="bottom"/>
            <w:tcBorders>
              <w:bottom w:val="single" w:sz="8" w:color="DBDBDB"/>
            </w:tcBorders>
          </w:tcPr>
          <w:p>
            <w:pPr>
              <w:jc w:val="right"/>
              <w:spacing w:after="0"/>
              <w:rPr>
                <w:sz w:val="20"/>
                <w:szCs w:val="20"/>
                <w:color w:val="auto"/>
              </w:rPr>
            </w:pPr>
            <w:r>
              <w:rPr>
                <w:rFonts w:ascii="Times New Roman" w:cs="Times New Roman" w:eastAsia="Times New Roman" w:hAnsi="Times New Roman"/>
                <w:sz w:val="14"/>
                <w:szCs w:val="14"/>
                <w:color w:val="auto"/>
              </w:rPr>
              <w:t>699 %</w:t>
            </w:r>
          </w:p>
        </w:tc>
        <w:tc>
          <w:tcPr>
            <w:tcW w:w="0" w:type="dxa"/>
            <w:vAlign w:val="bottom"/>
          </w:tcPr>
          <w:p>
            <w:pPr>
              <w:spacing w:after="0"/>
              <w:rPr>
                <w:sz w:val="1"/>
                <w:szCs w:val="1"/>
                <w:color w:val="auto"/>
              </w:rPr>
            </w:pPr>
          </w:p>
        </w:tc>
      </w:tr>
      <w:tr>
        <w:trPr>
          <w:trHeight w:val="203"/>
        </w:trPr>
        <w:tc>
          <w:tcPr>
            <w:tcW w:w="26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Net cash payments for UScellular merger-</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3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760" w:type="dxa"/>
            <w:vAlign w:val="bottom"/>
            <w:gridSpan w:val="2"/>
            <w:vMerge w:val="restart"/>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costs</w:t>
            </w:r>
          </w:p>
        </w:tc>
        <w:tc>
          <w:tcPr>
            <w:tcW w:w="2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889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-1004570</wp:posOffset>
            </wp:positionV>
            <wp:extent cx="8890"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-1518920</wp:posOffset>
            </wp:positionV>
            <wp:extent cx="54775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775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-1372870</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Anticipated Impacts</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result of our UScellular Acquisition restructuring and integration activities, we expect to realize cost efficiencies by eliminating redundancies within our combined network as well as other business processes and operations. Upon completion of these activities, we expect to achieve total annual run rate cost synergies of $1.2 billion, consisting of $950 million in operating expenses and $250 million in capital expenditures. We currently expect total costs to achieve, excluding accelerated depreciation, to be approximately $2.6 billion, currently expected to be composed of $1.5 billion of UScellular merger-related costs recognized within operating expenses and $1.1 billion of capital expenditures.</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Substantially all costs and associated payments for our UScellular Acquisition restructuring and integration activities are expected to be incurred by the end of fiscal year 2027. We are evaluating additional restructuring initiatives associated with the UScellular Acquisition, which are dependent on consultations and negotiations with certain counterparties and the expected impact on our business operations, which could affect the amount or timing of the costs and related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Vistar Media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20, 2024, we entered into an agreement and plan of merger for the acquisition of 100% of the outstanding capital stock of Vistar Media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(“Vistar”), a provider of technology solutions for digital-out-of-home advertisements (the “Vistar Acquisition”).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2025 (the “Vistar Acquisition Date”), we completed the Vistar Acquisition in exchange for $621 million in cash.</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Vistar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Blis Holdco Limited</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February 18, 2025, we entered into a share purchase agreement for the acquisition of 100% of the outstanding capital stock of Blis Holdco Limited (“Blis”), a provider of advertising solutions (the “Blis Acquisition”).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2025 (the “Blis Acquisition Date”), we completed the Blis Acquisition in exchange for $180 million in cash.</w:t>
      </w:r>
    </w:p>
    <w:p>
      <w:pPr>
        <w:spacing w:after="0" w:line="25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Blis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Ka’ena Corporation</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1, 2024 (the “Ka’ena Acquisition Date”), we completed the merger with Ka’ena Corporation and its subsidiaries, including, among others, Mint Mobile LLC (collectively, “Ka’ena”), and as a result, Ka’ena became a wholly owned subsidiary of T-Mobile (the “Ka’ena Acquisition”). The total purchase price consists of an upfront payment on the Ka’ena Acquisition Date and an earnout payable.</w:t>
      </w:r>
    </w:p>
    <w:p>
      <w:pPr>
        <w:spacing w:after="0" w:line="20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Subsequent to September 30, 2026, on October 9, 2026, we transferred $164 million in cash and 1,510,371 shares of T-Mobile common stock in satisfaction of our $420 million earnout obligation.</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Ka’ena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Sprint Merger-Related Costs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2024, we have incurred substantially all restructuring and integration costs associated with our merger (the “Sprint Merger”) with Sprint Corporation (“Sprint”) and, accordingly, no longer separately disclose Sprint Merger-related costs. The cash payments for the Sprint Merger-related costs incurred extend beyond 2026 (together with the cash payments for UScellular merger-related costs, “net payments for Merger-related costs”) and primarily relate to operating leases for which we have recognized accelerated lease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Fiber Joint Ventures</w:t>
      </w:r>
    </w:p>
    <w:p>
      <w:pPr>
        <w:spacing w:after="0" w:line="25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fiber strategy includes joint ventures focusing on market identification and selection, build plans, network engineering and design, network deployment and customer installation, with us owning customer relationships and selling fiber service under the T-Mobile brand.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1, 2025, we completed the joint acquisition of Lumos (“Lumos”), a fiber-to-the-home platform. During the three months ended June 30, 2025, we invested $932 million to acquire a 50% equity interest in the joint venture and fiber customers. In addition, pursuant to the definitive agreement, we expect to make an additional capital contribution of approximately $500 million between 2027 and 2028 under the existing business plan. Following the joint acquisition, Lumos transitioned to a wholesale model where we are the anchor tenant owning residential and small business customer relationships.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24, 2025, we completed the joint acquisition of Metronet Holdings, LLC and certain of its affiliates (collectively, “Metronet”), a fiber-to-the-home platform. During the three months ended September 30, 2025, we invested $4.6 billion to acquire a 50% equity interest in the joint venture and residential fiber customers. Following the joint acquisition, Metronet became a wholesale services provider, and its residential fiber retail operations and customers transitioned to us.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24, 2026, we entered into a definitive agreement with an affiliate of Wren House Infrastructure Management Limited (“Wren House”) to establish a joint venture to acquire i3 Broadband, one of Wren House’s existing fiber portfolio companies. Subsequent to September 30, 2026, on October 1, 2026, we completed the joint acquisition of i3 Broadband upon the completion of certain customary closing conditions, including the receipt of certain regulatory approvals. At closing, we invested $671 million to acquire a 50% equity interest in the joint venture and substantially all existing residential fiber customers.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April 25, 2026, we entered into definitive agreements with affiliates of Oak Hill Capital Management, LLC (“Oak Hill”) to establish a joint venture to acquire GoNetspeed and Greenlight Networks, two of Oak Hill’s existing fiber portfolio companies. The transaction with Oak Hill is expected to close in the first half of 2027, subject to customary closing conditions and regulatory approvals, at which time we expect to invest approximately $2.0 billion to acquire a 50% equity interest in the joint venture and substantially all existing residential fiber customers.</w:t>
      </w:r>
    </w:p>
    <w:p>
      <w:pPr>
        <w:spacing w:after="0" w:line="20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Upon closing of the transactions, we account for the joint ventures under the equity method of accounting with our proportionate share of earnings (losses) presented within Other expense, net on our Condensed Consolidated Statements of Comprehensive Income. Additionally, upon closing of the transactions, we recognize revenues for fiber customers and the related wholesale costs paid to the joint ventures for network access within Postpaid revenues and Cost of services, respectively, on our Condensed Consolidated Statements of Comprehensive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with AT&amp;T and Verizon</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September 14, 2026, we entered into definitive agreements and formed a joint venture with AT&amp;T Inc. and Verizon Communications Inc., or wholly owned subsidiaries thereof, which aims to end wireless dead zones in the U.S., including in rural areas, by pooling certain spectrum resources to increase capacity and help satellite providers reach more customers through a unified platform. This joint venture is expected to accelerate direct-to-device communications by using satellite-based technologies to address coverage gaps, especially in unserved and underserved communities. We expect to license certain intellectual property to the joint venture, and will also commit to provide access to certain spectrum licenses to satellite service providers who contract with the joint venture. The formation of this joint venture did not have a material impact on our condensed consolidated financial statements. We account for the joint venture with AT&amp;T and Verizon under the equity method of accounting.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Network Restructuring Initiative</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Recent technological advancements have enhanced our Customer-Driven Coverage insights, enabling us to identify, assess and shut down low customer value sites. In the fourth quarter of 2025, we began implementing restructuring initiatives to identify and realize these cost savings on our network, excluding activities associated with the UScellular Acquisition (the “Network Restructuring Initiative”). The major activities associated with the Network Restructuring Initiative include the rationalization of network and backhaul services and the decommissioning of cell sites and distributed antenna systems to reduce our overall network cost. Our Network Restructuring Initiative also includes the termination of certain of our operating leases for cell sites and switch sites, and accelerated depreciation related to assets associated with the decommissioning of cell sites.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Restructuring Initiative costs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860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40" w:type="dxa"/>
            <w:vAlign w:val="bottom"/>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220" w:type="dxa"/>
            <w:vAlign w:val="bottom"/>
            <w:shd w:val="clear" w:color="auto" w:fill="E20074"/>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shd w:val="clear" w:color="auto" w:fill="E20074"/>
          </w:tcPr>
          <w:p>
            <w:pPr>
              <w:spacing w:after="0"/>
              <w:rPr>
                <w:sz w:val="15"/>
                <w:szCs w:val="15"/>
                <w:color w:val="auto"/>
              </w:rPr>
            </w:pPr>
          </w:p>
        </w:tc>
        <w:tc>
          <w:tcPr>
            <w:tcW w:w="166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0" w:type="dxa"/>
            <w:vAlign w:val="bottom"/>
          </w:tcPr>
          <w:p>
            <w:pPr>
              <w:spacing w:after="0"/>
              <w:rPr>
                <w:sz w:val="1"/>
                <w:szCs w:val="1"/>
                <w:color w:val="auto"/>
              </w:rPr>
            </w:pPr>
          </w:p>
        </w:tc>
      </w:tr>
      <w:tr>
        <w:trPr>
          <w:trHeight w:val="200"/>
        </w:trPr>
        <w:tc>
          <w:tcPr>
            <w:tcW w:w="7400" w:type="dxa"/>
            <w:vAlign w:val="bottom"/>
            <w:vMerge w:val="continue"/>
          </w:tcPr>
          <w:p>
            <w:pPr>
              <w:spacing w:after="0"/>
              <w:rPr>
                <w:sz w:val="17"/>
                <w:szCs w:val="17"/>
                <w:color w:val="auto"/>
              </w:rPr>
            </w:pPr>
          </w:p>
        </w:tc>
        <w:tc>
          <w:tcPr>
            <w:tcW w:w="1640" w:type="dxa"/>
            <w:vAlign w:val="bottom"/>
            <w:shd w:val="clear" w:color="auto" w:fill="E20074"/>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22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660" w:type="dxa"/>
            <w:vAlign w:val="bottom"/>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4"/>
                <w:szCs w:val="14"/>
                <w:b w:val="1"/>
                <w:bCs w:val="1"/>
                <w:color w:val="auto"/>
              </w:rPr>
              <w:t>Network Restructuring Initiative</w:t>
            </w:r>
          </w:p>
        </w:tc>
        <w:tc>
          <w:tcPr>
            <w:tcW w:w="164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66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w:t>
            </w:r>
          </w:p>
        </w:tc>
        <w:tc>
          <w:tcPr>
            <w:tcW w:w="1640" w:type="dxa"/>
            <w:vAlign w:val="bottom"/>
          </w:tcPr>
          <w:p>
            <w:pPr>
              <w:jc w:val="right"/>
              <w:ind w:right="14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38</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3"/>
        </w:trPr>
        <w:tc>
          <w:tcPr>
            <w:tcW w:w="7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4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Network Restructuring Initiative costs</w:t>
            </w:r>
          </w:p>
        </w:tc>
        <w:tc>
          <w:tcPr>
            <w:tcW w:w="1640" w:type="dxa"/>
            <w:vAlign w:val="bottom"/>
            <w:tcBorders>
              <w:top w:val="single" w:sz="8" w:color="auto"/>
              <w:bottom w:val="single" w:sz="8" w:color="auto"/>
            </w:tcBorders>
          </w:tcPr>
          <w:p>
            <w:pPr>
              <w:jc w:val="right"/>
              <w:ind w:right="14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46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Network Restructuring Initiative costs have been excluded from our calculations of Adjusted EBITDA and Core Adjusted EBITDA, which are non-GAAP financial measures, as we do not consider these costs to be reflective of our ongoing operating performance. See “Adjusted EBITDA and Core Adjusted EBITDA” in the “</w:t>
      </w:r>
      <w:r>
        <w:rPr>
          <w:rFonts w:ascii="Times New Roman" w:cs="Times New Roman" w:eastAsia="Times New Roman" w:hAnsi="Times New Roman"/>
          <w:sz w:val="18"/>
          <w:szCs w:val="18"/>
          <w:u w:val="single" w:color="auto"/>
          <w:color w:val="0000FF"/>
        </w:rPr>
        <w:t>Performance Measures</w:t>
      </w:r>
      <w:r>
        <w:rPr>
          <w:rFonts w:ascii="Times New Roman" w:cs="Times New Roman" w:eastAsia="Times New Roman" w:hAnsi="Times New Roman"/>
          <w:sz w:val="18"/>
          <w:szCs w:val="18"/>
          <w:color w:val="auto"/>
        </w:rPr>
        <w:t>” section of this MD&amp;A.</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Network Restructuring Initiative is expected to be completed prior to the end of 2027, with total expected costs incurred to be between $500 million and $800 million. We are evaluating additional restructuring activities associated with the Network Restructuring Initiative, which are dependent on consultations and negotiations with certain counterparties and the expected impact on our business operations, which could affect the amount or timing of the restructuring costs and related payments.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15 – Restructuring Costs</w:t>
      </w:r>
      <w:r>
        <w:rPr>
          <w:rFonts w:ascii="Times New Roman" w:cs="Times New Roman" w:eastAsia="Times New Roman" w:hAnsi="Times New Roman"/>
          <w:sz w:val="18"/>
          <w:szCs w:val="18"/>
          <w:color w:val="auto"/>
        </w:rPr>
        <w:t xml:space="preserve"> of the Notes to the Condensed Consolidated Financial Statements for more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2025-2026 Workforce Transformation</w:t>
      </w:r>
    </w:p>
    <w:p>
      <w:pPr>
        <w:spacing w:after="0" w:line="25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the fourth quarter of 2025, we began implementing a restructuring initiative to streamline operations by centralizing leaders and teams, reducing organizational layers and eliminating duplicative roles (the “2025-2026 Workforce Transformation”). We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 to reinvest the expected cost savings from the 2025-2026 Workforce Transformation into the business, including into our digital initiatives.</w:t>
      </w:r>
    </w:p>
    <w:p>
      <w:pPr>
        <w:spacing w:after="0" w:line="25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recorded a pre-tax charge of $141 million related to the 2025-2026 Workforce Transformation, which is included in Cost of services and Selling, general and administrative expenses on our Condensed Consolidated Statements of Comprehensive Income. We have incurred substantially all of the costs associated with our 2025-2026 Workforce Transformation initiative and expect substantially all remaining associated employee separations and related cash outflows to occur throughout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15 – Restructuring Costs</w:t>
      </w:r>
      <w:r>
        <w:rPr>
          <w:rFonts w:ascii="Times New Roman" w:cs="Times New Roman" w:eastAsia="Times New Roman" w:hAnsi="Times New Roman"/>
          <w:sz w:val="18"/>
          <w:szCs w:val="18"/>
          <w:color w:val="auto"/>
        </w:rPr>
        <w:t xml:space="preserve"> of the Notes to the Condensed Consolidated Financial Statements for more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Initiatives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our ongoing digital initiatives to simplify routine transactions, as well as enhance customer experiences by transitioning in part to large-format experience stores, we began closing certain dealer- and corporate-owned stores in the second quarter of 2026. The major costs associated with these retail initiatives include contract termination, severance, store decommissioning and costs associated with terminated operating leases. Costs associated with the closure of stores acquired in the UScellular Acquisition are included within UScellular merger-related costs.</w:t>
      </w:r>
    </w:p>
    <w:p>
      <w:pPr>
        <w:spacing w:after="0" w:line="20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recorded a pre-tax charge of $50 million and $158 million, respectively, related to these retail initiatives, which is included in Selling, general and administrative expenses on our Condensed Consolidated Statements of Comprehensive Income. We are evaluating additional restructuring activities associated with our retail initiatives, which are dependent on negotiations with certain counterparties and the expected impact on our business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15 – Restructuring Costs</w:t>
      </w:r>
      <w:r>
        <w:rPr>
          <w:rFonts w:ascii="Times New Roman" w:cs="Times New Roman" w:eastAsia="Times New Roman" w:hAnsi="Times New Roman"/>
          <w:sz w:val="18"/>
          <w:szCs w:val="18"/>
          <w:color w:val="auto"/>
        </w:rPr>
        <w:t xml:space="preserve"> of the Notes to the Condensed Consolidated Financial Statements for more information.</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summary of our 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860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0" w:type="dxa"/>
            <w:vAlign w:val="bottom"/>
          </w:tcPr>
          <w:p>
            <w:pPr>
              <w:spacing w:after="0"/>
              <w:rPr>
                <w:sz w:val="14"/>
                <w:szCs w:val="14"/>
                <w:color w:val="auto"/>
              </w:rPr>
            </w:pPr>
          </w:p>
        </w:tc>
        <w:tc>
          <w:tcPr>
            <w:tcW w:w="220" w:type="dxa"/>
            <w:vAlign w:val="bottom"/>
            <w:shd w:val="clear" w:color="auto" w:fill="E20074"/>
          </w:tcPr>
          <w:p>
            <w:pPr>
              <w:spacing w:after="0"/>
              <w:rPr>
                <w:sz w:val="14"/>
                <w:szCs w:val="14"/>
                <w:color w:val="auto"/>
              </w:rPr>
            </w:pPr>
          </w:p>
        </w:tc>
        <w:tc>
          <w:tcPr>
            <w:tcW w:w="1800" w:type="dxa"/>
            <w:vAlign w:val="bottom"/>
            <w:gridSpan w:val="4"/>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20" w:type="dxa"/>
            <w:vAlign w:val="bottom"/>
          </w:tcPr>
          <w:p>
            <w:pPr>
              <w:spacing w:after="0"/>
              <w:rPr>
                <w:sz w:val="14"/>
                <w:szCs w:val="14"/>
                <w:color w:val="auto"/>
              </w:rPr>
            </w:pPr>
          </w:p>
        </w:tc>
        <w:tc>
          <w:tcPr>
            <w:tcW w:w="260" w:type="dxa"/>
            <w:vAlign w:val="bottom"/>
            <w:shd w:val="clear" w:color="auto" w:fill="E20074"/>
          </w:tcPr>
          <w:p>
            <w:pPr>
              <w:spacing w:after="0"/>
              <w:rPr>
                <w:sz w:val="14"/>
                <w:szCs w:val="14"/>
                <w:color w:val="auto"/>
              </w:rPr>
            </w:pPr>
          </w:p>
        </w:tc>
        <w:tc>
          <w:tcPr>
            <w:tcW w:w="1140" w:type="dxa"/>
            <w:vAlign w:val="bottom"/>
            <w:gridSpan w:val="3"/>
            <w:vMerge w:val="restart"/>
            <w:shd w:val="clear" w:color="auto" w:fill="E20074"/>
          </w:tcPr>
          <w:p>
            <w:pPr>
              <w:ind w:left="56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shd w:val="clear" w:color="auto" w:fill="E20074"/>
          </w:tcPr>
          <w:p>
            <w:pPr>
              <w:spacing w:after="0"/>
              <w:rPr>
                <w:sz w:val="14"/>
                <w:szCs w:val="14"/>
                <w:color w:val="auto"/>
              </w:rPr>
            </w:pPr>
          </w:p>
        </w:tc>
        <w:tc>
          <w:tcPr>
            <w:tcW w:w="1800" w:type="dxa"/>
            <w:vAlign w:val="bottom"/>
            <w:gridSpan w:val="4"/>
            <w:shd w:val="clear" w:color="auto" w:fill="E20074"/>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20" w:type="dxa"/>
            <w:vAlign w:val="bottom"/>
          </w:tcPr>
          <w:p>
            <w:pPr>
              <w:spacing w:after="0"/>
              <w:rPr>
                <w:sz w:val="14"/>
                <w:szCs w:val="14"/>
                <w:color w:val="auto"/>
              </w:rPr>
            </w:pPr>
          </w:p>
        </w:tc>
        <w:tc>
          <w:tcPr>
            <w:tcW w:w="260" w:type="dxa"/>
            <w:vAlign w:val="bottom"/>
            <w:shd w:val="clear" w:color="auto" w:fill="E20074"/>
          </w:tcPr>
          <w:p>
            <w:pPr>
              <w:spacing w:after="0"/>
              <w:rPr>
                <w:sz w:val="14"/>
                <w:szCs w:val="14"/>
                <w:color w:val="auto"/>
              </w:rPr>
            </w:pPr>
          </w:p>
        </w:tc>
        <w:tc>
          <w:tcPr>
            <w:tcW w:w="1160" w:type="dxa"/>
            <w:vAlign w:val="bottom"/>
            <w:gridSpan w:val="3"/>
            <w:vMerge w:val="restart"/>
            <w:shd w:val="clear" w:color="auto" w:fill="E20074"/>
          </w:tcPr>
          <w:p>
            <w:pPr>
              <w:ind w:left="58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1800" w:type="dxa"/>
            <w:vAlign w:val="bottom"/>
            <w:gridSpan w:val="4"/>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2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4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1800" w:type="dxa"/>
            <w:vAlign w:val="bottom"/>
            <w:gridSpan w:val="4"/>
            <w:shd w:val="clear" w:color="auto" w:fill="E20074"/>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2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6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6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6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Postpaid revenues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Prepaid revenues</w:t>
            </w: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2,427</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7,911</w:t>
            </w: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and other service revenues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26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60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Total service revenues</w:t>
            </w: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19,375</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18,241</w:t>
            </w:r>
          </w:p>
        </w:tc>
        <w:tc>
          <w:tcPr>
            <w:tcW w:w="12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57,189</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52,604</w:t>
            </w:r>
          </w:p>
        </w:tc>
        <w:tc>
          <w:tcPr>
            <w:tcW w:w="12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4,585</w:t>
            </w:r>
          </w:p>
        </w:tc>
        <w:tc>
          <w:tcPr>
            <w:tcW w:w="10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revenues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86"/>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21,957</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69,482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63,975</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3"/>
        </w:trPr>
        <w:tc>
          <w:tcPr>
            <w:tcW w:w="26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6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DDDDDD"/>
            </w:tcBorders>
            <w:shd w:val="clear" w:color="auto" w:fill="DDDDDD"/>
          </w:tcPr>
          <w:p>
            <w:pPr>
              <w:spacing w:after="0"/>
              <w:rPr>
                <w:sz w:val="15"/>
                <w:szCs w:val="15"/>
                <w:color w:val="auto"/>
              </w:rPr>
            </w:pPr>
          </w:p>
        </w:tc>
        <w:tc>
          <w:tcPr>
            <w:tcW w:w="72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7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DDDDDD"/>
            </w:tcBorders>
            <w:shd w:val="clear" w:color="auto" w:fill="DDDDDD"/>
          </w:tcPr>
          <w:p>
            <w:pPr>
              <w:spacing w:after="0"/>
              <w:rPr>
                <w:sz w:val="15"/>
                <w:szCs w:val="15"/>
                <w:color w:val="auto"/>
              </w:rPr>
            </w:pPr>
          </w:p>
        </w:tc>
        <w:tc>
          <w:tcPr>
            <w:tcW w:w="72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Cost of services, exclusive of depreciation</w:t>
            </w: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8,192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1,132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amortization shown separately below</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600" w:type="dxa"/>
            <w:vAlign w:val="bottom"/>
            <w:shd w:val="clear" w:color="auto" w:fill="DDDDDD"/>
          </w:tcPr>
          <w:p>
            <w:pPr>
              <w:ind w:left="20"/>
              <w:spacing w:after="0" w:line="158" w:lineRule="exact"/>
              <w:rPr>
                <w:sz w:val="20"/>
                <w:szCs w:val="20"/>
                <w:color w:val="auto"/>
              </w:rPr>
            </w:pPr>
            <w:r>
              <w:rPr>
                <w:rFonts w:ascii="Times New Roman" w:cs="Times New Roman" w:eastAsia="Times New Roman" w:hAnsi="Times New Roman"/>
                <w:sz w:val="14"/>
                <w:szCs w:val="14"/>
                <w:color w:val="auto"/>
              </w:rPr>
              <w:t>Cost of equipment sales, exclusive of</w:t>
            </w:r>
          </w:p>
        </w:tc>
        <w:tc>
          <w:tcPr>
            <w:tcW w:w="22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DDDDDD"/>
          </w:tcPr>
          <w:p>
            <w:pPr>
              <w:ind w:left="20"/>
              <w:spacing w:after="0" w:line="145" w:lineRule="exact"/>
              <w:rPr>
                <w:sz w:val="20"/>
                <w:szCs w:val="20"/>
                <w:color w:val="auto"/>
              </w:rPr>
            </w:pPr>
            <w:r>
              <w:rPr>
                <w:rFonts w:ascii="Times New Roman" w:cs="Times New Roman" w:eastAsia="Times New Roman" w:hAnsi="Times New Roman"/>
                <w:sz w:val="14"/>
                <w:szCs w:val="14"/>
                <w:color w:val="auto"/>
              </w:rPr>
              <w:t>depreciation and amortization shown</w:t>
            </w:r>
          </w:p>
        </w:tc>
        <w:tc>
          <w:tcPr>
            <w:tcW w:w="22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00" w:type="dxa"/>
            <w:vAlign w:val="bottom"/>
            <w:shd w:val="clear" w:color="auto" w:fill="DDDDDD"/>
          </w:tcPr>
          <w:p>
            <w:pPr>
              <w:spacing w:after="0"/>
              <w:rPr>
                <w:sz w:val="12"/>
                <w:szCs w:val="12"/>
                <w:color w:val="auto"/>
              </w:rPr>
            </w:pPr>
          </w:p>
        </w:tc>
        <w:tc>
          <w:tcPr>
            <w:tcW w:w="22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4,853</w:t>
            </w:r>
          </w:p>
        </w:tc>
        <w:tc>
          <w:tcPr>
            <w:tcW w:w="12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DDDDDD"/>
          </w:tcPr>
          <w:p>
            <w:pPr>
              <w:spacing w:after="0"/>
              <w:rPr>
                <w:sz w:val="12"/>
                <w:szCs w:val="12"/>
                <w:color w:val="auto"/>
              </w:rPr>
            </w:pPr>
          </w:p>
        </w:tc>
        <w:tc>
          <w:tcPr>
            <w:tcW w:w="360" w:type="dxa"/>
            <w:vAlign w:val="bottom"/>
            <w:shd w:val="clear" w:color="auto" w:fill="DDDDDD"/>
          </w:tcPr>
          <w:p>
            <w:pPr>
              <w:spacing w:after="0"/>
              <w:rPr>
                <w:sz w:val="12"/>
                <w:szCs w:val="12"/>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DDDDDD"/>
          </w:tcPr>
          <w:p>
            <w:pPr>
              <w:spacing w:after="0"/>
              <w:rPr>
                <w:sz w:val="12"/>
                <w:szCs w:val="12"/>
                <w:color w:val="auto"/>
              </w:rPr>
            </w:pPr>
          </w:p>
        </w:tc>
        <w:tc>
          <w:tcPr>
            <w:tcW w:w="22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15,987</w:t>
            </w:r>
          </w:p>
        </w:tc>
        <w:tc>
          <w:tcPr>
            <w:tcW w:w="100" w:type="dxa"/>
            <w:vAlign w:val="bottom"/>
            <w:shd w:val="clear" w:color="auto" w:fill="DDDDDD"/>
          </w:tcPr>
          <w:p>
            <w:pPr>
              <w:spacing w:after="0"/>
              <w:rPr>
                <w:sz w:val="12"/>
                <w:szCs w:val="12"/>
                <w:color w:val="auto"/>
              </w:rPr>
            </w:pPr>
          </w:p>
        </w:tc>
        <w:tc>
          <w:tcPr>
            <w:tcW w:w="220" w:type="dxa"/>
            <w:vAlign w:val="bottom"/>
            <w:shd w:val="clear" w:color="auto" w:fill="DDDDDD"/>
          </w:tcPr>
          <w:p>
            <w:pPr>
              <w:spacing w:after="0"/>
              <w:rPr>
                <w:sz w:val="12"/>
                <w:szCs w:val="12"/>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14,310</w:t>
            </w:r>
          </w:p>
        </w:tc>
        <w:tc>
          <w:tcPr>
            <w:tcW w:w="12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70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shd w:val="clear" w:color="auto" w:fill="DDDDDD"/>
          </w:tcPr>
          <w:p>
            <w:pPr>
              <w:spacing w:after="0"/>
              <w:rPr>
                <w:sz w:val="12"/>
                <w:szCs w:val="12"/>
                <w:color w:val="auto"/>
              </w:rPr>
            </w:pPr>
          </w:p>
        </w:tc>
        <w:tc>
          <w:tcPr>
            <w:tcW w:w="360" w:type="dxa"/>
            <w:vAlign w:val="bottom"/>
            <w:shd w:val="clear" w:color="auto" w:fill="DDDDDD"/>
          </w:tcPr>
          <w:p>
            <w:pPr>
              <w:spacing w:after="0"/>
              <w:rPr>
                <w:sz w:val="12"/>
                <w:szCs w:val="12"/>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3"/>
        </w:trPr>
        <w:tc>
          <w:tcPr>
            <w:tcW w:w="26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separately below</w:t>
            </w: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6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7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Impairment expense</w:t>
            </w: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3"/>
        </w:trPr>
        <w:tc>
          <w:tcPr>
            <w:tcW w:w="26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17,923</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17,427</w:t>
            </w: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53,834</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49,432</w:t>
            </w: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6"/>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14,543</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3"/>
        </w:trPr>
        <w:tc>
          <w:tcPr>
            <w:tcW w:w="26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6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DDDDDD"/>
            </w:tcBorders>
            <w:shd w:val="clear" w:color="auto" w:fill="DDDDDD"/>
          </w:tcPr>
          <w:p>
            <w:pPr>
              <w:spacing w:after="0"/>
              <w:rPr>
                <w:sz w:val="15"/>
                <w:szCs w:val="15"/>
                <w:color w:val="auto"/>
              </w:rPr>
            </w:pPr>
          </w:p>
        </w:tc>
        <w:tc>
          <w:tcPr>
            <w:tcW w:w="72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220" w:type="dxa"/>
            <w:vAlign w:val="bottom"/>
            <w:tcBorders>
              <w:bottom w:val="single" w:sz="8" w:color="DDDDDD"/>
            </w:tcBorders>
            <w:shd w:val="clear" w:color="auto" w:fill="DDDDDD"/>
          </w:tcPr>
          <w:p>
            <w:pPr>
              <w:spacing w:after="0"/>
              <w:rPr>
                <w:sz w:val="15"/>
                <w:szCs w:val="15"/>
                <w:color w:val="auto"/>
              </w:rPr>
            </w:pPr>
          </w:p>
        </w:tc>
        <w:tc>
          <w:tcPr>
            <w:tcW w:w="740" w:type="dxa"/>
            <w:vAlign w:val="bottom"/>
            <w:tcBorders>
              <w:bottom w:val="single" w:sz="8" w:color="DDDDDD"/>
            </w:tcBorders>
            <w:shd w:val="clear" w:color="auto" w:fill="DDDDDD"/>
          </w:tcPr>
          <w:p>
            <w:pPr>
              <w:spacing w:after="0"/>
              <w:rPr>
                <w:sz w:val="15"/>
                <w:szCs w:val="15"/>
                <w:color w:val="auto"/>
              </w:rPr>
            </w:pPr>
          </w:p>
        </w:tc>
        <w:tc>
          <w:tcPr>
            <w:tcW w:w="12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70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DDDDDD"/>
            </w:tcBorders>
            <w:shd w:val="clear" w:color="auto" w:fill="DDDDDD"/>
          </w:tcPr>
          <w:p>
            <w:pPr>
              <w:spacing w:after="0"/>
              <w:rPr>
                <w:sz w:val="15"/>
                <w:szCs w:val="15"/>
                <w:color w:val="auto"/>
              </w:rPr>
            </w:pPr>
          </w:p>
        </w:tc>
        <w:tc>
          <w:tcPr>
            <w:tcW w:w="72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86"/>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 expense, net</w:t>
            </w: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3"/>
        </w:trPr>
        <w:tc>
          <w:tcPr>
            <w:tcW w:w="26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0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2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12,202</w:t>
            </w:r>
          </w:p>
        </w:tc>
        <w:tc>
          <w:tcPr>
            <w:tcW w:w="10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12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3"/>
        </w:trPr>
        <w:tc>
          <w:tcPr>
            <w:tcW w:w="26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60" w:type="dxa"/>
            <w:vAlign w:val="bottom"/>
            <w:tcBorders>
              <w:bottom w:val="single" w:sz="8" w:color="DDDDDD"/>
            </w:tcBorders>
          </w:tcPr>
          <w:p>
            <w:pPr>
              <w:spacing w:after="0"/>
              <w:rPr>
                <w:sz w:val="2"/>
                <w:szCs w:val="2"/>
                <w:color w:val="auto"/>
              </w:rPr>
            </w:pPr>
          </w:p>
        </w:tc>
        <w:tc>
          <w:tcPr>
            <w:tcW w:w="72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0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3,455</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3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9,198</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3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03"/>
        </w:trPr>
        <w:tc>
          <w:tcPr>
            <w:tcW w:w="2600" w:type="dxa"/>
            <w:vAlign w:val="bottom"/>
            <w:tcBorders>
              <w:top w:val="single" w:sz="8" w:color="DDDDDD"/>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DDDDDD"/>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360" w:type="dxa"/>
            <w:vAlign w:val="bottom"/>
            <w:tcBorders>
              <w:top w:val="single" w:sz="8" w:color="DDDDDD"/>
            </w:tcBorders>
          </w:tcPr>
          <w:p>
            <w:pPr>
              <w:spacing w:after="0"/>
              <w:rPr>
                <w:sz w:val="17"/>
                <w:szCs w:val="17"/>
                <w:color w:val="auto"/>
              </w:rPr>
            </w:pPr>
          </w:p>
        </w:tc>
        <w:tc>
          <w:tcPr>
            <w:tcW w:w="720" w:type="dxa"/>
            <w:vAlign w:val="bottom"/>
            <w:tcBorders>
              <w:top w:val="single" w:sz="8" w:color="DDDDDD"/>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DDDDDD"/>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DDDDDD"/>
            </w:tcBorders>
          </w:tcPr>
          <w:p>
            <w:pPr>
              <w:spacing w:after="0"/>
              <w:rPr>
                <w:sz w:val="17"/>
                <w:szCs w:val="17"/>
                <w:color w:val="auto"/>
              </w:rPr>
            </w:pPr>
          </w:p>
        </w:tc>
        <w:tc>
          <w:tcPr>
            <w:tcW w:w="360" w:type="dxa"/>
            <w:vAlign w:val="bottom"/>
            <w:tcBorders>
              <w:top w:val="single" w:sz="8" w:color="DDDDDD"/>
            </w:tcBorders>
          </w:tcPr>
          <w:p>
            <w:pPr>
              <w:spacing w:after="0"/>
              <w:rPr>
                <w:sz w:val="17"/>
                <w:szCs w:val="17"/>
                <w:color w:val="auto"/>
              </w:rPr>
            </w:pPr>
          </w:p>
        </w:tc>
        <w:tc>
          <w:tcPr>
            <w:tcW w:w="720" w:type="dxa"/>
            <w:vAlign w:val="bottom"/>
            <w:tcBorders>
              <w:top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Cash Flows Data</w:t>
            </w: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600" w:type="dxa"/>
            <w:vAlign w:val="bottom"/>
            <w:shd w:val="clear" w:color="auto" w:fill="DDDDDD"/>
          </w:tcPr>
          <w:p>
            <w:pPr>
              <w:ind w:left="20"/>
              <w:spacing w:after="0" w:line="153" w:lineRule="exact"/>
              <w:rPr>
                <w:sz w:val="20"/>
                <w:szCs w:val="20"/>
                <w:color w:val="auto"/>
              </w:rPr>
            </w:pPr>
            <w:r>
              <w:rPr>
                <w:rFonts w:ascii="Times New Roman" w:cs="Times New Roman" w:eastAsia="Times New Roman" w:hAnsi="Times New Roman"/>
                <w:sz w:val="14"/>
                <w:szCs w:val="14"/>
                <w:color w:val="auto"/>
              </w:rPr>
              <w:t>Net cash provided by (used in) investing</w:t>
            </w:r>
          </w:p>
        </w:tc>
        <w:tc>
          <w:tcPr>
            <w:tcW w:w="22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2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10,497</w:t>
            </w:r>
          </w:p>
        </w:tc>
        <w:tc>
          <w:tcPr>
            <w:tcW w:w="10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(15,107)</w:t>
            </w:r>
          </w:p>
        </w:tc>
        <w:tc>
          <w:tcPr>
            <w:tcW w:w="12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700" w:type="dxa"/>
            <w:vAlign w:val="bottom"/>
            <w:vMerge w:val="restart"/>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9,564</w:t>
            </w:r>
          </w:p>
        </w:tc>
        <w:tc>
          <w:tcPr>
            <w:tcW w:w="10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8"/>
        </w:trPr>
        <w:tc>
          <w:tcPr>
            <w:tcW w:w="26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6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74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7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spacing w:after="0"/>
              <w:rPr>
                <w:sz w:val="17"/>
                <w:szCs w:val="17"/>
                <w:color w:val="auto"/>
              </w:rPr>
            </w:pP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28,398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Core Adjusted EBITDA</w:t>
            </w: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9,620</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28,397</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7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25,479</w:t>
            </w:r>
          </w:p>
        </w:tc>
        <w:tc>
          <w:tcPr>
            <w:tcW w:w="1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tcBorders>
              <w:bottom w:val="single" w:sz="8" w:color="DDDDDD"/>
            </w:tcBorders>
            <w:shd w:val="clear" w:color="auto" w:fill="DDDDDD"/>
          </w:tcPr>
          <w:p>
            <w:pPr>
              <w:spacing w:after="0"/>
              <w:rPr>
                <w:sz w:val="17"/>
                <w:szCs w:val="17"/>
                <w:color w:val="auto"/>
              </w:rPr>
            </w:pPr>
          </w:p>
        </w:tc>
        <w:tc>
          <w:tcPr>
            <w:tcW w:w="360" w:type="dxa"/>
            <w:vAlign w:val="bottom"/>
            <w:tcBorders>
              <w:bottom w:val="single" w:sz="8" w:color="DDDDDD"/>
            </w:tcBorders>
            <w:shd w:val="clear" w:color="auto" w:fill="DDDDDD"/>
          </w:tcPr>
          <w:p>
            <w:pPr>
              <w:spacing w:after="0"/>
              <w:rPr>
                <w:sz w:val="17"/>
                <w:szCs w:val="17"/>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Free Cash Flow</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discussion and analysis is for the three and nine months ended September 30, 2026, compared to the same periods in 2025, unless otherwise stated.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Total revenues </w:t>
      </w:r>
      <w:r>
        <w:rPr>
          <w:rFonts w:ascii="Times New Roman" w:cs="Times New Roman" w:eastAsia="Times New Roman" w:hAnsi="Times New Roman"/>
          <w:sz w:val="17"/>
          <w:szCs w:val="17"/>
          <w:color w:val="auto"/>
        </w:rPr>
        <w:t>increased $1.6 billion, or 7%, for the three months ended and increased $5.5 billion, or 9%, for the nine months ended September 30, 2026.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these changes are discussed below.</w:t>
      </w:r>
    </w:p>
    <w:p>
      <w:pPr>
        <w:spacing w:after="0" w:line="23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Postpaid revenues </w:t>
      </w:r>
      <w:r>
        <w:rPr>
          <w:rFonts w:ascii="Times New Roman" w:cs="Times New Roman" w:eastAsia="Times New Roman" w:hAnsi="Times New Roman"/>
          <w:sz w:val="18"/>
          <w:szCs w:val="18"/>
          <w:color w:val="auto"/>
        </w:rPr>
        <w:t>increased $1.4 billion, or 9%, for the three months ended and increased $5.2 billion, or 12%, for the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postpaid accounts, including following the acquisitions of UScellular and Metronet;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postpaid ARPA. See “Postpaid ARPA” in the “</w:t>
      </w:r>
      <w:r>
        <w:rPr>
          <w:rFonts w:ascii="Times New Roman" w:cs="Times New Roman" w:eastAsia="Times New Roman" w:hAnsi="Times New Roman"/>
          <w:sz w:val="18"/>
          <w:szCs w:val="18"/>
          <w:u w:val="single" w:color="auto"/>
          <w:color w:val="0000FF"/>
        </w:rPr>
        <w:t>Performance Measures</w:t>
      </w:r>
      <w:r>
        <w:rPr>
          <w:rFonts w:ascii="Times New Roman" w:cs="Times New Roman" w:eastAsia="Times New Roman" w:hAnsi="Times New Roman"/>
          <w:sz w:val="18"/>
          <w:szCs w:val="18"/>
          <w:color w:val="auto"/>
        </w:rPr>
        <w:t>” section of this MD&amp;A.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postpaid accounts, including following the acquisitions of UScellular, Metronet and Lumos;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postpaid ARPA. See “Postpaid ARPA” in the “</w:t>
      </w:r>
      <w:r>
        <w:rPr>
          <w:rFonts w:ascii="Times New Roman" w:cs="Times New Roman" w:eastAsia="Times New Roman" w:hAnsi="Times New Roman"/>
          <w:sz w:val="18"/>
          <w:szCs w:val="18"/>
          <w:u w:val="single" w:color="auto"/>
          <w:color w:val="0000FF"/>
        </w:rPr>
        <w:t>Performance Measures</w:t>
      </w:r>
      <w:r>
        <w:rPr>
          <w:rFonts w:ascii="Times New Roman" w:cs="Times New Roman" w:eastAsia="Times New Roman" w:hAnsi="Times New Roman"/>
          <w:sz w:val="18"/>
          <w:szCs w:val="18"/>
          <w:color w:val="auto"/>
        </w:rPr>
        <w:t>” section of this MD&amp;A.</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Prepaid revenues </w:t>
      </w:r>
      <w:r>
        <w:rPr>
          <w:rFonts w:ascii="Times New Roman" w:cs="Times New Roman" w:eastAsia="Times New Roman" w:hAnsi="Times New Roman"/>
          <w:sz w:val="18"/>
          <w:szCs w:val="18"/>
          <w:color w:val="auto"/>
        </w:rPr>
        <w:t>decreased $198 million, or 8%, for the three months ended and decreased $494 million, or 6%, for the nine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prepaid customers;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revenue per customer, primarily from dilution from promotional activity and rate plan mix.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revenue per customer, primarily from dilution from promotional activity and rate plan mix;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prepaid customers.</w:t>
      </w:r>
    </w:p>
    <w:p>
      <w:pPr>
        <w:spacing w:after="0" w:line="24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Wholesale and other service revenues </w:t>
      </w:r>
      <w:r>
        <w:rPr>
          <w:rFonts w:ascii="Times New Roman" w:cs="Times New Roman" w:eastAsia="Times New Roman" w:hAnsi="Times New Roman"/>
          <w:sz w:val="18"/>
          <w:szCs w:val="18"/>
          <w:color w:val="auto"/>
        </w:rPr>
        <w:t>decreased $55 million, or 7%, for the three months ended and decreased $118 million, or 6%, for the nine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2026, primarily from lower MVNO revenues, including lower DISH and TracFone MVNO revenues.</w:t>
      </w:r>
    </w:p>
    <w:p>
      <w:pPr>
        <w:spacing w:after="0" w:line="18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Equipment revenues </w:t>
      </w:r>
      <w:r>
        <w:rPr>
          <w:rFonts w:ascii="Times New Roman" w:cs="Times New Roman" w:eastAsia="Times New Roman" w:hAnsi="Times New Roman"/>
          <w:sz w:val="18"/>
          <w:szCs w:val="18"/>
          <w:color w:val="auto"/>
        </w:rPr>
        <w:t>increased $464 million, or 13%, for the three months ended and increased $841 million, or 8%,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$293 million in device sales revenue, primarily from:</w:t>
      </w:r>
    </w:p>
    <w:p>
      <w:pPr>
        <w:spacing w:after="0" w:line="63" w:lineRule="exact"/>
        <w:rPr>
          <w:rFonts w:ascii="Times New Roman" w:cs="Times New Roman" w:eastAsia="Times New Roman" w:hAnsi="Times New Roman"/>
          <w:sz w:val="18"/>
          <w:szCs w:val="18"/>
          <w:color w:val="auto"/>
        </w:rPr>
      </w:pPr>
    </w:p>
    <w:p>
      <w:pPr>
        <w:ind w:left="1300" w:right="580" w:hanging="320"/>
        <w:spacing w:after="0" w:line="281" w:lineRule="auto"/>
        <w:tabs>
          <w:tab w:leader="none" w:pos="12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revenue per device sold, net of promotions, primarily driven by an increase in the high-end phone mix and higher manufacturer pricing; partially offset by</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total number of devices sold, primarily driven by lower prepaid devices;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liquidation revenue, primarily due to a higher number of liquidated devices and an increase in the high-end phone mix.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$517 million in device sales revenue, primarily from:</w:t>
      </w:r>
    </w:p>
    <w:p>
      <w:pPr>
        <w:spacing w:after="0" w:line="63" w:lineRule="exact"/>
        <w:rPr>
          <w:rFonts w:ascii="Times New Roman" w:cs="Times New Roman" w:eastAsia="Times New Roman" w:hAnsi="Times New Roman"/>
          <w:sz w:val="18"/>
          <w:szCs w:val="18"/>
          <w:color w:val="auto"/>
        </w:rPr>
      </w:pPr>
    </w:p>
    <w:p>
      <w:pPr>
        <w:ind w:left="1300" w:right="580" w:hanging="320"/>
        <w:spacing w:after="0" w:line="281" w:lineRule="auto"/>
        <w:tabs>
          <w:tab w:leader="none" w:pos="12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revenue per device sold, net of promotions, primarily driven by an increase in the high-end phone mix and higher manufacturer pricing; partially offset by</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total number of devices sold, primarily driven by lower prepaid devices;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liquidation revenue, primarily due to an increase in the high-end phone mix and a higher number of liquidated devices.</w:t>
      </w:r>
    </w:p>
    <w:p>
      <w:pPr>
        <w:sectPr>
          <w:pgSz w:w="11900" w:h="16838" w:orient="portrait"/>
          <w:cols w:equalWidth="0" w:num="1">
            <w:col w:w="11200"/>
          </w:cols>
          <w:pgMar w:left="320" w:top="17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revenues </w:t>
      </w:r>
      <w:r>
        <w:rPr>
          <w:rFonts w:ascii="Times New Roman" w:cs="Times New Roman" w:eastAsia="Times New Roman" w:hAnsi="Times New Roman"/>
          <w:sz w:val="18"/>
          <w:szCs w:val="18"/>
          <w:color w:val="auto"/>
        </w:rPr>
        <w:t>were essentially flat.</w:t>
      </w:r>
    </w:p>
    <w:p>
      <w:pPr>
        <w:spacing w:after="0" w:line="252"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increased $496 million, or 3%, for the three months ended and increased $4.4 billion, or 9%,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 The components of this change are discussed below.</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Cost of services</w:t>
      </w:r>
      <w:r>
        <w:rPr>
          <w:rFonts w:ascii="Times New Roman" w:cs="Times New Roman" w:eastAsia="Times New Roman" w:hAnsi="Times New Roman"/>
          <w:sz w:val="18"/>
          <w:szCs w:val="18"/>
          <w:color w:val="auto"/>
        </w:rPr>
        <w:t>, exclusive of depreciation and amortization, increased $134 million, or 5%, for the three months ended and increased $1.1 billion, or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nine months ended 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wholesale network access costs and amortization of customer installation fees paid to Metronet and Lumos;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repair and maintenance expenses.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following the UScellular Acquisition, including merger-related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wholesale network access costs and amortization of customer installation fees paid to Metronet and Lumos;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site costs related to the continued build-out of our nationwide 5G network.</w:t>
      </w:r>
    </w:p>
    <w:p>
      <w:pPr>
        <w:spacing w:after="0" w:line="24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Cost of equipment sales</w:t>
      </w:r>
      <w:r>
        <w:rPr>
          <w:rFonts w:ascii="Times New Roman" w:cs="Times New Roman" w:eastAsia="Times New Roman" w:hAnsi="Times New Roman"/>
          <w:sz w:val="18"/>
          <w:szCs w:val="18"/>
          <w:color w:val="auto"/>
        </w:rPr>
        <w:t>, exclusive of depreciation and amortization, increased $591 million, or 12%, for the three months ended and increased $1.7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or 12%, for the nine months ended 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$528 million in device cost of equipment sales, primarily from:</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cost per device sold, primarily driven by higher manufacturer pricing and an increase in the high-end phone mix; partially offset by</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total number of devices sold, primarily driven by lower prepaid devices;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liquidation costs, primarily due to a higher number of liquidated devices and an increase in the high-end phone mix.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billion in device cost of equipment sales, primarily from:</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cost per device sold, primarily driven by higher manufacturer pricing and an increase in the high-end phone mix; partially offset by</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total number of devices sold, primarily driven by lower prepaid devices;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liquidation costs, primarily due to a higher number of liquidated devices and an increase in the high-end phone mix.</w:t>
      </w:r>
    </w:p>
    <w:p>
      <w:pPr>
        <w:spacing w:after="0" w:line="24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expenses were essentially flat for the three months ended and increased $920 million, or 5%, for the nine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September 30, 2026 was impacted by:</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business tax refunds and credits;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bad debt expense;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personnel-related costs, including payroll and benefits;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external labor and professional services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following the UScellular Acquisition, including merger-related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bad debt expense;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advertising expense;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costs associated with our retail initiatives;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$151 million gain recognized in the prior period related to the completed sale of a portion of our 3.45 GHz spectrum licenses; partially offset by</w:t>
      </w:r>
    </w:p>
    <w:p>
      <w:pPr>
        <w:spacing w:after="0" w:line="74"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external labor and professional services expenses;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vendor credits related to software services.</w:t>
      </w:r>
    </w:p>
    <w:p>
      <w:pPr>
        <w:spacing w:after="0" w:line="24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Impairment expense </w:t>
      </w:r>
      <w:r>
        <w:rPr>
          <w:rFonts w:ascii="Times New Roman" w:cs="Times New Roman" w:eastAsia="Times New Roman" w:hAnsi="Times New Roman"/>
          <w:sz w:val="18"/>
          <w:szCs w:val="18"/>
          <w:color w:val="auto"/>
        </w:rPr>
        <w:t>was $278 million for both the three and nine months ended September 30, 2025, due to the impairment of capitalized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costs related to our billing system.</w:t>
      </w:r>
    </w:p>
    <w:p>
      <w:pPr>
        <w:spacing w:after="0" w:line="182"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increased slightly for the three months ended and increased $951 million, or 10%,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right="200" w:hanging="328"/>
        <w:spacing w:after="0" w:line="28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depreciation and amortization expense from assets acquired in the UScellular Acquisition and the continued build-out of our nationwide 5G network;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depreciation expense from the accelerated depreciation of certain network and technology assets, including UScellular restructuring.</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Operating income</w:t>
      </w:r>
      <w:r>
        <w:rPr>
          <w:rFonts w:ascii="Times New Roman" w:cs="Times New Roman" w:eastAsia="Times New Roman" w:hAnsi="Times New Roman"/>
          <w:sz w:val="18"/>
          <w:szCs w:val="18"/>
          <w:color w:val="auto"/>
        </w:rPr>
        <w:t>, the components of which are discussed above, increased $1.1 billion, or 25%, for the three months ended and increased $1.1 billion,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 for the nine months ended September 30, 2026.</w:t>
      </w:r>
    </w:p>
    <w:p>
      <w:pPr>
        <w:spacing w:after="0" w:line="18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expense, net </w:t>
      </w:r>
      <w:r>
        <w:rPr>
          <w:rFonts w:ascii="Times New Roman" w:cs="Times New Roman" w:eastAsia="Times New Roman" w:hAnsi="Times New Roman"/>
          <w:sz w:val="18"/>
          <w:szCs w:val="18"/>
          <w:color w:val="auto"/>
        </w:rPr>
        <w:t>increased $107 million, or 12%, for the three months ended and increased $355 million, or 13%,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due to higher average debt outstanding and a higher average effective interest rate;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income, primarily due to lower average balances and lower average interest rates on short-term cash equivalents.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expense, net </w:t>
      </w:r>
      <w:r>
        <w:rPr>
          <w:rFonts w:ascii="Times New Roman" w:cs="Times New Roman" w:eastAsia="Times New Roman" w:hAnsi="Times New Roman"/>
          <w:sz w:val="18"/>
          <w:szCs w:val="18"/>
          <w:color w:val="auto"/>
        </w:rPr>
        <w:t>was essentially flat for the three months ended and increased $194 million, or 144%, for the nine months ended September 30, 2026.</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 our proportionate share of net losses from the Lumos and Metronet joint ventures recognized during the current period.</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Income before income taxes</w:t>
      </w:r>
      <w:r>
        <w:rPr>
          <w:rFonts w:ascii="Times New Roman" w:cs="Times New Roman" w:eastAsia="Times New Roman" w:hAnsi="Times New Roman"/>
          <w:sz w:val="18"/>
          <w:szCs w:val="18"/>
          <w:color w:val="auto"/>
        </w:rPr>
        <w:t>, the components of which are discussed above, was $4.5 billion and $3.5 billion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and 2025, respectively, and $12.2 billion and $11.6 billion for the nine months ended September 30, 2026 and 2025, respectively.</w:t>
      </w:r>
    </w:p>
    <w:p>
      <w:pPr>
        <w:spacing w:after="0" w:line="182"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increased $271 million, or 33%, for the three months ended and increased $247 million, or 9%,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 higher income before income taxes.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was 23.9% and 23.1% for the three months ended September 30, 2026 and 2025, respectively.</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before income taxes;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excess tax benefits related to the vesting of restricted stock awards.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was 24.6% and 23.7% for the nine months ended September 30, 2026 and 2025, respectively.</w:t>
      </w:r>
    </w:p>
    <w:p>
      <w:pPr>
        <w:spacing w:after="0" w:line="24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the components of which are discussed above, was $3.5 billion and $2.7 billion for the three months ended September 30, 2026 and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and $9.2 billion and $8.9 billion for the nine months ended September 30, 2026 and 2025, respectively. Net income included:</w:t>
      </w:r>
    </w:p>
    <w:p>
      <w:pPr>
        <w:spacing w:after="0" w:line="186" w:lineRule="exact"/>
        <w:rPr>
          <w:sz w:val="20"/>
          <w:szCs w:val="20"/>
          <w:color w:val="auto"/>
        </w:rPr>
      </w:pPr>
    </w:p>
    <w:p>
      <w:pPr>
        <w:ind w:left="660" w:right="10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UScellular merger-related costs, including accelerated depreciation, net of tax, of $98 million and $720 million for the three and nine months ended September 30, 2026, respectively, compared to $55 million and $90 million of UScellular merger-related costs, net of tax, for the three and nine months ended September 30, 2025, respectively;</w:t>
      </w:r>
    </w:p>
    <w:p>
      <w:pPr>
        <w:spacing w:after="0" w:line="13"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Network Restructuring Initiative, including accelerated depreciation, net of tax, of $35 million and $184 million for the three and nine months ended September 30, 2026, respectively;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expense related to certain capitalized software development costs, net of tax, of $208 million for both the three and nine months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applicable indentures and supplemental indentures, the Senior Notes issued by T-Mobile USA, Inc. and Sprint Capital Corporation (collectively, the “Issuers”) are fully and unconditionally guaranteed, jointly and severally, on a senior unsecured basis by T-Mobile (“Parent”) and certain of Parent’s 100% owned subsidiaries (“Guarantor Subsidiaries”).</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guarantees of the Guarantor Subsidiaries are subject to release in limited circumstances only upon the occurrence of certain customary conditions. Generally, the guarantees of the Guarantor Subsidiaries with respect to the Senior Notes issued by T-Mobile USA, Inc. and the credit agreement entered into by T-Mobile USA, Inc. will be automatically and unconditionally released if, immediately following such release and any concurrent releases of other guarantees, the aggregate principal amount of indebtedness of non-guarantor subsidiaries (other than certain specified subsidiaries) would not exceed $2.0 billion. The indentures, supplemental indentures and credit agreements governing the long-term debt contain covenants that, among other things, limit the ability of the Issuers or borrowers and the Guarantor Subsidiaries to incur more debt, create liens or other encumbrances and merge, consolidate or sell, or otherwise dispose of, substantially all of their assets.</w:t>
      </w:r>
    </w:p>
    <w:p>
      <w:pPr>
        <w:spacing w:after="0" w:line="21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March 31, 2026, T-Mobile USA, Inc. elected to release the guarantees of certain subsidiaries under its credit agreement pursuant to the terms thereof, resulting in a corresponding release under the indentures dated April 28, 2013, April 9, 2020, and September 15, 2022, governing its outstanding Senior Notes. As a result of the release, the obligors under the credit agreement and outstanding Senior Notes issued by T-Mobile USA, Inc. now consist of T-Mobile USA, Inc., as issuer or borrower, and each of T-Mobile, Sprint LLC, Sprint Capital Corporation and Sprint Communications LLC, as guarantors. These are the same obligors as the outstanding Senior Notes issued by Sprint Capital Corporation.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tables include summarized financial information of the obligor group of debt issued by T-Mobile USA, Inc. and Sprint Capital Corporation. The summarized financial information is presented on a combined basis with balances and transactions within the obligor group eliminated. Investments in and the equity in earnings of non-guarantor subsidiaries, which would otherwise be consolidated in accordance with GAAP, are excluded from the below summarized financial information pursuant to SEC Regulation S-X Rule 13-01.</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The summarized balance sheet information for the consolidated obligor group of debt issued by T-Mobile USA, Inc. and Sprint Capital Corporation is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E20074"/>
          </w:tcPr>
          <w:p>
            <w:pPr>
              <w:spacing w:after="0"/>
              <w:rPr>
                <w:sz w:val="19"/>
                <w:szCs w:val="19"/>
                <w:color w:val="auto"/>
              </w:rPr>
            </w:pPr>
          </w:p>
        </w:tc>
        <w:tc>
          <w:tcPr>
            <w:tcW w:w="156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120" w:type="dxa"/>
            <w:vAlign w:val="bottom"/>
          </w:tcPr>
          <w:p>
            <w:pPr>
              <w:spacing w:after="0"/>
              <w:rPr>
                <w:sz w:val="19"/>
                <w:szCs w:val="19"/>
                <w:color w:val="auto"/>
              </w:rPr>
            </w:pPr>
          </w:p>
        </w:tc>
        <w:tc>
          <w:tcPr>
            <w:tcW w:w="180" w:type="dxa"/>
            <w:vAlign w:val="bottom"/>
            <w:shd w:val="clear" w:color="auto" w:fill="E20074"/>
          </w:tcPr>
          <w:p>
            <w:pPr>
              <w:spacing w:after="0"/>
              <w:rPr>
                <w:sz w:val="19"/>
                <w:szCs w:val="19"/>
                <w:color w:val="auto"/>
              </w:rPr>
            </w:pPr>
          </w:p>
        </w:tc>
        <w:tc>
          <w:tcPr>
            <w:tcW w:w="158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 2025</w:t>
            </w:r>
          </w:p>
        </w:tc>
      </w:tr>
      <w:tr>
        <w:trPr>
          <w:trHeight w:val="209"/>
        </w:trPr>
        <w:tc>
          <w:tcPr>
            <w:tcW w:w="7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Borders>
              <w:bottom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13,988</w:t>
            </w:r>
          </w:p>
        </w:tc>
        <w:tc>
          <w:tcPr>
            <w:tcW w:w="30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12,459</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17,604</w:t>
            </w: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7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DDDDDD"/>
            </w:tcBorders>
            <w:shd w:val="clear" w:color="auto" w:fill="DDDDDD"/>
          </w:tcPr>
          <w:p>
            <w:pPr>
              <w:spacing w:after="0"/>
              <w:rPr>
                <w:sz w:val="17"/>
                <w:szCs w:val="17"/>
                <w:color w:val="auto"/>
              </w:rPr>
            </w:pPr>
          </w:p>
        </w:tc>
        <w:tc>
          <w:tcPr>
            <w:tcW w:w="15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13,394</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5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16,426</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97,390</w:t>
            </w:r>
          </w:p>
        </w:tc>
      </w:tr>
      <w:tr>
        <w:trPr>
          <w:trHeight w:val="23"/>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96"/>
        </w:trPr>
        <w:tc>
          <w:tcPr>
            <w:tcW w:w="760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Due to non-guarantors</w:t>
            </w:r>
          </w:p>
        </w:tc>
        <w:tc>
          <w:tcPr>
            <w:tcW w:w="200" w:type="dxa"/>
            <w:vAlign w:val="bottom"/>
            <w:tcBorders>
              <w:bottom w:val="single" w:sz="8" w:color="DDDDDD"/>
            </w:tcBorders>
            <w:shd w:val="clear" w:color="auto" w:fill="DDDDDD"/>
          </w:tcPr>
          <w:p>
            <w:pPr>
              <w:spacing w:after="0"/>
              <w:rPr>
                <w:sz w:val="17"/>
                <w:szCs w:val="17"/>
                <w:color w:val="auto"/>
              </w:rPr>
            </w:pPr>
          </w:p>
        </w:tc>
        <w:tc>
          <w:tcPr>
            <w:tcW w:w="15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19,137</w:t>
            </w:r>
          </w:p>
        </w:tc>
        <w:tc>
          <w:tcPr>
            <w:tcW w:w="120" w:type="dxa"/>
            <w:vAlign w:val="bottom"/>
            <w:tcBorders>
              <w:bottom w:val="single" w:sz="8" w:color="DDDDDD"/>
            </w:tcBorders>
            <w:shd w:val="clear" w:color="auto" w:fill="DDDDDD"/>
          </w:tcPr>
          <w:p>
            <w:pPr>
              <w:spacing w:after="0"/>
              <w:rPr>
                <w:sz w:val="17"/>
                <w:szCs w:val="17"/>
                <w:color w:val="auto"/>
              </w:rPr>
            </w:pPr>
          </w:p>
        </w:tc>
        <w:tc>
          <w:tcPr>
            <w:tcW w:w="180" w:type="dxa"/>
            <w:vAlign w:val="bottom"/>
            <w:tcBorders>
              <w:bottom w:val="single" w:sz="8" w:color="DDDDDD"/>
            </w:tcBorders>
            <w:shd w:val="clear" w:color="auto" w:fill="DDDDDD"/>
          </w:tcPr>
          <w:p>
            <w:pPr>
              <w:spacing w:after="0"/>
              <w:rPr>
                <w:sz w:val="17"/>
                <w:szCs w:val="17"/>
                <w:color w:val="auto"/>
              </w:rPr>
            </w:pPr>
          </w:p>
        </w:tc>
        <w:tc>
          <w:tcPr>
            <w:tcW w:w="15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8,371</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to related parties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-815975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color w:val="auto"/>
        </w:rPr>
        <w:t>The summarized results of operations information for the consolidated obligor group of debt issued by T-Mobile USA, Inc. and Sprint Capital Corporation is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E20074"/>
          </w:tcPr>
          <w:p>
            <w:pPr>
              <w:spacing w:after="0"/>
              <w:rPr>
                <w:sz w:val="14"/>
                <w:szCs w:val="14"/>
                <w:color w:val="auto"/>
              </w:rPr>
            </w:pPr>
          </w:p>
        </w:tc>
        <w:tc>
          <w:tcPr>
            <w:tcW w:w="158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20" w:type="dxa"/>
            <w:vAlign w:val="bottom"/>
          </w:tcPr>
          <w:p>
            <w:pPr>
              <w:spacing w:after="0"/>
              <w:rPr>
                <w:sz w:val="14"/>
                <w:szCs w:val="14"/>
                <w:color w:val="auto"/>
              </w:rPr>
            </w:pPr>
          </w:p>
        </w:tc>
        <w:tc>
          <w:tcPr>
            <w:tcW w:w="180" w:type="dxa"/>
            <w:vAlign w:val="bottom"/>
            <w:shd w:val="clear" w:color="auto" w:fill="E20074"/>
          </w:tcPr>
          <w:p>
            <w:pPr>
              <w:spacing w:after="0"/>
              <w:rPr>
                <w:sz w:val="14"/>
                <w:szCs w:val="14"/>
                <w:color w:val="auto"/>
              </w:rPr>
            </w:pPr>
          </w:p>
        </w:tc>
        <w:tc>
          <w:tcPr>
            <w:tcW w:w="1580" w:type="dxa"/>
            <w:vAlign w:val="bottom"/>
            <w:shd w:val="clear" w:color="auto" w:fill="E20074"/>
          </w:tcPr>
          <w:p>
            <w:pPr>
              <w:jc w:val="right"/>
              <w:ind w:right="448"/>
              <w:spacing w:after="0"/>
              <w:rPr>
                <w:sz w:val="20"/>
                <w:szCs w:val="20"/>
                <w:color w:val="auto"/>
              </w:rPr>
            </w:pPr>
            <w:r>
              <w:rPr>
                <w:rFonts w:ascii="Times New Roman" w:cs="Times New Roman" w:eastAsia="Times New Roman" w:hAnsi="Times New Roman"/>
                <w:sz w:val="14"/>
                <w:szCs w:val="14"/>
                <w:b w:val="1"/>
                <w:bCs w:val="1"/>
                <w:color w:val="FFFFFF"/>
              </w:rPr>
              <w:t>Year Ended</w:t>
            </w:r>
          </w:p>
        </w:tc>
        <w:tc>
          <w:tcPr>
            <w:tcW w:w="0" w:type="dxa"/>
            <w:vAlign w:val="bottom"/>
          </w:tcPr>
          <w:p>
            <w:pPr>
              <w:spacing w:after="0"/>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580" w:type="dxa"/>
            <w:vAlign w:val="bottom"/>
            <w:shd w:val="clear" w:color="auto" w:fill="E20074"/>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September 30, 2026</w:t>
            </w:r>
          </w:p>
        </w:tc>
        <w:tc>
          <w:tcPr>
            <w:tcW w:w="120" w:type="dxa"/>
            <w:vAlign w:val="bottom"/>
          </w:tcPr>
          <w:p>
            <w:pPr>
              <w:spacing w:after="0"/>
              <w:rPr>
                <w:sz w:val="17"/>
                <w:szCs w:val="17"/>
                <w:color w:val="auto"/>
              </w:rPr>
            </w:pPr>
          </w:p>
        </w:tc>
        <w:tc>
          <w:tcPr>
            <w:tcW w:w="180" w:type="dxa"/>
            <w:vAlign w:val="bottom"/>
            <w:shd w:val="clear" w:color="auto" w:fill="E20074"/>
          </w:tcPr>
          <w:p>
            <w:pPr>
              <w:spacing w:after="0"/>
              <w:rPr>
                <w:sz w:val="17"/>
                <w:szCs w:val="17"/>
                <w:color w:val="auto"/>
              </w:rPr>
            </w:pPr>
          </w:p>
        </w:tc>
        <w:tc>
          <w:tcPr>
            <w:tcW w:w="1580" w:type="dxa"/>
            <w:vAlign w:val="bottom"/>
            <w:shd w:val="clear" w:color="auto" w:fill="E20074"/>
          </w:tcPr>
          <w:p>
            <w:pPr>
              <w:jc w:val="right"/>
              <w:ind w:right="228"/>
              <w:spacing w:after="0"/>
              <w:rPr>
                <w:sz w:val="20"/>
                <w:szCs w:val="20"/>
                <w:color w:val="auto"/>
              </w:rPr>
            </w:pPr>
            <w:r>
              <w:rPr>
                <w:rFonts w:ascii="Times New Roman" w:cs="Times New Roman" w:eastAsia="Times New Roman" w:hAnsi="Times New Roman"/>
                <w:sz w:val="14"/>
                <w:szCs w:val="14"/>
                <w:b w:val="1"/>
                <w:bCs w:val="1"/>
                <w:color w:val="FFFFFF"/>
              </w:rPr>
              <w:t>December 31, 2025</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30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DBDBDB"/>
            </w:tcBorders>
            <w:shd w:val="clear" w:color="auto" w:fill="DBDBDB"/>
          </w:tcPr>
          <w:p>
            <w:pPr>
              <w:spacing w:after="0"/>
              <w:rPr>
                <w:sz w:val="17"/>
                <w:szCs w:val="17"/>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(8,935)</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from non-guarantors</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Operating expenses from non-guarantors</w:t>
            </w:r>
          </w:p>
        </w:tc>
        <w:tc>
          <w:tcPr>
            <w:tcW w:w="180" w:type="dxa"/>
            <w:vAlign w:val="bottom"/>
            <w:tcBorders>
              <w:bottom w:val="single" w:sz="8" w:color="DBDBDB"/>
            </w:tcBorders>
            <w:shd w:val="clear" w:color="auto" w:fill="DBDBDB"/>
          </w:tcPr>
          <w:p>
            <w:pPr>
              <w:spacing w:after="0"/>
              <w:rPr>
                <w:sz w:val="17"/>
                <w:szCs w:val="17"/>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 net, to non-guarantors</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-815975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managing our business and assessing financial performance, we supplement the information provided by our condensed consolidated financial statements with other operating or statistical data and non-GAAP financial measures. These operating and financial measures are utilized by our management to evaluate our operating performance and, in certain cases, our ability to meet liquidity requirements. Although companies in the telecommunications industry may not define each of these measures in precisely the same way, we believe that these measures facilitate comparisons with other companies in the industry on key operating and financial measures.</w:t>
      </w:r>
    </w:p>
    <w:p>
      <w:pPr>
        <w:spacing w:after="0" w:line="21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Beginning with the three months ended March 31, 2026, we shifted away from reporting customer performance measures to better align with the Company’s long-held priority on growing high-value accounts, which management believes is the best reflection of value creation versus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Postpaid Accounts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postpaid account is generally defined as a billing account that generates revenue. Postpaid accounts generally consist of customers that are qualified for postpaid service utilizing phones, 5G broadband gateways, fiber connections, mobile internet devices (including tablets and hotspots), wearables, DIGITS and other connected devices (including SyncUP and IoT), where they generally pay after receiving service.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ending postpaid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240" w:type="dxa"/>
            <w:vAlign w:val="bottom"/>
            <w:gridSpan w:val="4"/>
            <w:shd w:val="clear" w:color="auto" w:fill="E20074"/>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As of September 30,</w:t>
            </w:r>
          </w:p>
        </w:tc>
        <w:tc>
          <w:tcPr>
            <w:tcW w:w="500" w:type="dxa"/>
            <w:vAlign w:val="bottom"/>
            <w:shd w:val="clear" w:color="auto" w:fill="E20074"/>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shd w:val="clear" w:color="auto" w:fill="E20074"/>
          </w:tcPr>
          <w:p>
            <w:pPr>
              <w:spacing w:after="0"/>
              <w:rPr>
                <w:sz w:val="19"/>
                <w:szCs w:val="19"/>
                <w:color w:val="auto"/>
              </w:rPr>
            </w:pPr>
          </w:p>
        </w:tc>
        <w:tc>
          <w:tcPr>
            <w:tcW w:w="960" w:type="dxa"/>
            <w:vAlign w:val="bottom"/>
            <w:gridSpan w:val="3"/>
            <w:shd w:val="clear" w:color="auto" w:fill="E20074"/>
          </w:tcPr>
          <w:p>
            <w:pPr>
              <w:ind w:left="30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960" w:type="dxa"/>
            <w:vAlign w:val="bottom"/>
            <w:shd w:val="clear" w:color="auto" w:fill="E20074"/>
          </w:tcPr>
          <w:p>
            <w:pPr>
              <w:spacing w:after="0"/>
              <w:rPr>
                <w:sz w:val="19"/>
                <w:szCs w:val="19"/>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bottom w:val="single" w:sz="8" w:color="E20074"/>
            </w:tcBorders>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50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E20074"/>
            </w:tcBorders>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500" w:type="dxa"/>
            <w:vAlign w:val="bottom"/>
            <w:tcBorders>
              <w:bottom w:val="single" w:sz="8" w:color="E20074"/>
            </w:tcBorders>
            <w:shd w:val="clear" w:color="auto" w:fill="E20074"/>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E20074"/>
            </w:tcBorders>
            <w:shd w:val="clear" w:color="auto" w:fill="E20074"/>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w:t>
            </w:r>
          </w:p>
        </w:tc>
        <w:tc>
          <w:tcPr>
            <w:tcW w:w="440" w:type="dxa"/>
            <w:vAlign w:val="bottom"/>
            <w:tcBorders>
              <w:bottom w:val="single" w:sz="8" w:color="E20074"/>
            </w:tcBorders>
            <w:shd w:val="clear" w:color="auto" w:fill="E20074"/>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E20074"/>
            </w:tcBorders>
            <w:shd w:val="clear" w:color="auto" w:fill="E20074"/>
          </w:tcPr>
          <w:p>
            <w:pPr>
              <w:spacing w:after="0"/>
              <w:rPr>
                <w:sz w:val="18"/>
                <w:szCs w:val="18"/>
                <w:color w:val="auto"/>
              </w:rPr>
            </w:pPr>
          </w:p>
        </w:tc>
        <w:tc>
          <w:tcPr>
            <w:tcW w:w="960" w:type="dxa"/>
            <w:vAlign w:val="bottom"/>
            <w:tcBorders>
              <w:bottom w:val="single" w:sz="8" w:color="E20074"/>
            </w:tcBorders>
            <w:shd w:val="clear" w:color="auto" w:fill="E20074"/>
          </w:tcPr>
          <w:p>
            <w:pPr>
              <w:jc w:val="right"/>
              <w:ind w:right="528"/>
              <w:spacing w:after="0"/>
              <w:rPr>
                <w:sz w:val="20"/>
                <w:szCs w:val="20"/>
                <w:color w:val="auto"/>
              </w:rPr>
            </w:pPr>
            <w:r>
              <w:rPr>
                <w:rFonts w:ascii="Times New Roman" w:cs="Times New Roman" w:eastAsia="Times New Roman" w:hAnsi="Times New Roman"/>
                <w:sz w:val="14"/>
                <w:szCs w:val="14"/>
                <w:b w:val="1"/>
                <w:bCs w:val="1"/>
                <w:color w:val="FFFFFF"/>
              </w:rPr>
              <w:t>%</w:t>
            </w:r>
          </w:p>
        </w:tc>
      </w:tr>
      <w:tr>
        <w:trPr>
          <w:trHeight w:val="206"/>
        </w:trPr>
        <w:tc>
          <w:tcPr>
            <w:tcW w:w="5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 xml:space="preserve">Postpaid accounts </w:t>
            </w:r>
            <w:r>
              <w:rPr>
                <w:rFonts w:ascii="Times New Roman" w:cs="Times New Roman" w:eastAsia="Times New Roman" w:hAnsi="Times New Roman"/>
                <w:sz w:val="9"/>
                <w:szCs w:val="9"/>
                <w:color w:val="auto"/>
              </w:rPr>
              <w:t>(1) (2) (3) (4) (5)</w:t>
            </w:r>
          </w:p>
        </w:tc>
        <w:tc>
          <w:tcPr>
            <w:tcW w:w="820" w:type="dxa"/>
            <w:vAlign w:val="bottom"/>
            <w:shd w:val="clear" w:color="auto" w:fill="DDDDDD"/>
          </w:tcPr>
          <w:p>
            <w:pPr>
              <w:spacing w:after="0"/>
              <w:rPr>
                <w:sz w:val="17"/>
                <w:szCs w:val="17"/>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34,974</w:t>
            </w:r>
          </w:p>
        </w:tc>
        <w:tc>
          <w:tcPr>
            <w:tcW w:w="10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50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33,979</w:t>
            </w: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3"/>
        </w:trPr>
        <w:tc>
          <w:tcPr>
            <w:tcW w:w="5620" w:type="dxa"/>
            <w:vAlign w:val="bottom"/>
            <w:shd w:val="clear" w:color="auto" w:fill="DDDDDD"/>
          </w:tcPr>
          <w:p>
            <w:pPr>
              <w:spacing w:after="0"/>
              <w:rPr>
                <w:sz w:val="2"/>
                <w:szCs w:val="2"/>
                <w:color w:val="auto"/>
              </w:rPr>
            </w:pPr>
          </w:p>
        </w:tc>
        <w:tc>
          <w:tcPr>
            <w:tcW w:w="820" w:type="dxa"/>
            <w:vAlign w:val="bottom"/>
            <w:shd w:val="clear" w:color="auto" w:fill="DDDDDD"/>
          </w:tcPr>
          <w:p>
            <w:pPr>
              <w:spacing w:after="0"/>
              <w:rPr>
                <w:sz w:val="2"/>
                <w:szCs w:val="2"/>
                <w:color w:val="auto"/>
              </w:rPr>
            </w:pPr>
          </w:p>
        </w:tc>
        <w:tc>
          <w:tcPr>
            <w:tcW w:w="50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820" w:type="dxa"/>
            <w:vAlign w:val="bottom"/>
            <w:shd w:val="clear" w:color="auto" w:fill="DDDDDD"/>
          </w:tcPr>
          <w:p>
            <w:pPr>
              <w:spacing w:after="0"/>
              <w:rPr>
                <w:sz w:val="2"/>
                <w:szCs w:val="2"/>
                <w:color w:val="auto"/>
              </w:rPr>
            </w:pPr>
          </w:p>
        </w:tc>
        <w:tc>
          <w:tcPr>
            <w:tcW w:w="50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860" w:type="dxa"/>
            <w:vAlign w:val="bottom"/>
            <w:shd w:val="clear" w:color="auto" w:fill="DDDDDD"/>
          </w:tcPr>
          <w:p>
            <w:pPr>
              <w:spacing w:after="0"/>
              <w:rPr>
                <w:sz w:val="2"/>
                <w:szCs w:val="2"/>
                <w:color w:val="auto"/>
              </w:rPr>
            </w:pPr>
          </w:p>
        </w:tc>
        <w:tc>
          <w:tcPr>
            <w:tcW w:w="440" w:type="dxa"/>
            <w:vAlign w:val="bottom"/>
            <w:shd w:val="clear" w:color="auto" w:fill="DDDDDD"/>
          </w:tcPr>
          <w:p>
            <w:pPr>
              <w:spacing w:after="0"/>
              <w:rPr>
                <w:sz w:val="2"/>
                <w:szCs w:val="2"/>
                <w:color w:val="auto"/>
              </w:rPr>
            </w:pPr>
          </w:p>
        </w:tc>
        <w:tc>
          <w:tcPr>
            <w:tcW w:w="120" w:type="dxa"/>
            <w:vAlign w:val="bottom"/>
            <w:shd w:val="clear" w:color="auto" w:fill="DDDDDD"/>
          </w:tcPr>
          <w:p>
            <w:pPr>
              <w:spacing w:after="0"/>
              <w:rPr>
                <w:sz w:val="2"/>
                <w:szCs w:val="2"/>
                <w:color w:val="auto"/>
              </w:rPr>
            </w:pPr>
          </w:p>
        </w:tc>
        <w:tc>
          <w:tcPr>
            <w:tcW w:w="400" w:type="dxa"/>
            <w:vAlign w:val="bottom"/>
            <w:shd w:val="clear" w:color="auto" w:fill="DDDDDD"/>
          </w:tcPr>
          <w:p>
            <w:pPr>
              <w:spacing w:after="0"/>
              <w:rPr>
                <w:sz w:val="2"/>
                <w:szCs w:val="2"/>
                <w:color w:val="auto"/>
              </w:rPr>
            </w:pPr>
          </w:p>
        </w:tc>
        <w:tc>
          <w:tcPr>
            <w:tcW w:w="960" w:type="dxa"/>
            <w:vAlign w:val="bottom"/>
            <w:shd w:val="clear" w:color="auto" w:fill="DDDDDD"/>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2026, Metronet agreed to repurchase certain customer accounts, resulting in a base adjustment to decrease postpaid accounts by 16,000.</w:t>
      </w:r>
    </w:p>
    <w:p>
      <w:pPr>
        <w:spacing w:after="0" w:line="27" w:lineRule="exact"/>
        <w:rPr>
          <w:rFonts w:ascii="Times New Roman" w:cs="Times New Roman" w:eastAsia="Times New Roman" w:hAnsi="Times New Roman"/>
          <w:sz w:val="14"/>
          <w:szCs w:val="14"/>
          <w:color w:val="auto"/>
        </w:rPr>
      </w:pPr>
    </w:p>
    <w:p>
      <w:pPr>
        <w:ind w:left="340" w:right="440" w:hanging="332"/>
        <w:spacing w:after="0" w:line="254"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first quarter of 2026, we recognized a base adjustment to decrease postpaid accounts by 18,000, primarily due to combining certain business accounts that have multiple billing account numbers.</w:t>
      </w:r>
    </w:p>
    <w:p>
      <w:pPr>
        <w:ind w:left="340" w:right="360" w:hanging="332"/>
        <w:spacing w:after="0" w:line="259"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third quarter of 2025, we acquired 1,448,000 postpaid accounts through the UScellular Acquisition, which includes the impact of certain base adjustments to align the policies of UScellular and T-Mobile.</w:t>
      </w: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third quarter of 2025, we acquired 633,000 postpaid accounts from Metronet and other acquisitions.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2025, we acquired 85,000 postpaid accounts from Lumos.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base adjustments had no impact on postpaid net account additions.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Postpaid Net Account Additions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postpaid net account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86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20" w:type="dxa"/>
            <w:vAlign w:val="bottom"/>
          </w:tcPr>
          <w:p>
            <w:pPr>
              <w:spacing w:after="0"/>
              <w:rPr>
                <w:sz w:val="14"/>
                <w:szCs w:val="14"/>
                <w:color w:val="auto"/>
              </w:rPr>
            </w:pPr>
          </w:p>
        </w:tc>
        <w:tc>
          <w:tcPr>
            <w:tcW w:w="2000" w:type="dxa"/>
            <w:vAlign w:val="bottom"/>
            <w:gridSpan w:val="3"/>
            <w:shd w:val="clear" w:color="auto" w:fill="E20074"/>
          </w:tcPr>
          <w:p>
            <w:pPr>
              <w:ind w:left="32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00" w:type="dxa"/>
            <w:vAlign w:val="bottom"/>
          </w:tcPr>
          <w:p>
            <w:pPr>
              <w:spacing w:after="0"/>
              <w:rPr>
                <w:sz w:val="14"/>
                <w:szCs w:val="14"/>
                <w:color w:val="auto"/>
              </w:rPr>
            </w:pPr>
          </w:p>
        </w:tc>
        <w:tc>
          <w:tcPr>
            <w:tcW w:w="1420" w:type="dxa"/>
            <w:vAlign w:val="bottom"/>
            <w:gridSpan w:val="3"/>
            <w:vMerge w:val="restart"/>
            <w:shd w:val="clear" w:color="auto" w:fill="E20074"/>
          </w:tcPr>
          <w:p>
            <w:pPr>
              <w:ind w:left="84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20" w:type="dxa"/>
            <w:vAlign w:val="bottom"/>
          </w:tcPr>
          <w:p>
            <w:pPr>
              <w:spacing w:after="0"/>
              <w:rPr>
                <w:sz w:val="14"/>
                <w:szCs w:val="14"/>
                <w:color w:val="auto"/>
              </w:rPr>
            </w:pPr>
          </w:p>
        </w:tc>
        <w:tc>
          <w:tcPr>
            <w:tcW w:w="1420" w:type="dxa"/>
            <w:vAlign w:val="bottom"/>
            <w:gridSpan w:val="3"/>
            <w:vMerge w:val="restart"/>
            <w:shd w:val="clear" w:color="auto" w:fill="E20074"/>
          </w:tcPr>
          <w:p>
            <w:pPr>
              <w:ind w:left="84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2000" w:type="dxa"/>
            <w:vAlign w:val="bottom"/>
            <w:gridSpan w:val="3"/>
            <w:shd w:val="clear" w:color="auto" w:fill="E20074"/>
          </w:tcPr>
          <w:p>
            <w:pPr>
              <w:ind w:left="560"/>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7"/>
                <w:szCs w:val="17"/>
                <w:color w:val="auto"/>
              </w:rPr>
            </w:pPr>
          </w:p>
        </w:tc>
        <w:tc>
          <w:tcPr>
            <w:tcW w:w="142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3"/>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20" w:type="dxa"/>
            <w:vAlign w:val="bottom"/>
          </w:tcPr>
          <w:p>
            <w:pPr>
              <w:spacing w:after="0"/>
              <w:rPr>
                <w:sz w:val="17"/>
                <w:szCs w:val="17"/>
                <w:color w:val="auto"/>
              </w:rPr>
            </w:pPr>
          </w:p>
        </w:tc>
        <w:tc>
          <w:tcPr>
            <w:tcW w:w="142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E20074"/>
            </w:tcBorders>
            <w:shd w:val="clear" w:color="auto" w:fill="E20074"/>
          </w:tcPr>
          <w:p>
            <w:pPr>
              <w:ind w:left="32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6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jc w:val="right"/>
              <w:ind w:right="24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6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06"/>
        </w:trPr>
        <w:tc>
          <w:tcPr>
            <w:tcW w:w="26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Postpaid net account additions</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60" w:type="dxa"/>
            <w:vAlign w:val="bottom"/>
            <w:gridSpan w:val="2"/>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396</w:t>
            </w:r>
          </w:p>
        </w:tc>
        <w:tc>
          <w:tcPr>
            <w:tcW w:w="10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3"/>
        </w:trPr>
        <w:tc>
          <w:tcPr>
            <w:tcW w:w="2620" w:type="dxa"/>
            <w:vAlign w:val="bottom"/>
            <w:shd w:val="clear" w:color="auto" w:fill="DDDDDD"/>
          </w:tcPr>
          <w:p>
            <w:pPr>
              <w:spacing w:after="0"/>
              <w:rPr>
                <w:sz w:val="2"/>
                <w:szCs w:val="2"/>
                <w:color w:val="auto"/>
              </w:rPr>
            </w:pPr>
          </w:p>
        </w:tc>
        <w:tc>
          <w:tcPr>
            <w:tcW w:w="94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96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96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360" w:type="dxa"/>
            <w:vAlign w:val="bottom"/>
            <w:shd w:val="clear" w:color="auto" w:fill="DDDDDD"/>
          </w:tcPr>
          <w:p>
            <w:pPr>
              <w:spacing w:after="0"/>
              <w:rPr>
                <w:sz w:val="2"/>
                <w:szCs w:val="2"/>
                <w:color w:val="auto"/>
              </w:rPr>
            </w:pPr>
          </w:p>
        </w:tc>
        <w:tc>
          <w:tcPr>
            <w:tcW w:w="72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96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960" w:type="dxa"/>
            <w:vAlign w:val="bottom"/>
            <w:shd w:val="clear" w:color="auto" w:fill="DDDDDD"/>
          </w:tcPr>
          <w:p>
            <w:pPr>
              <w:spacing w:after="0"/>
              <w:rPr>
                <w:sz w:val="2"/>
                <w:szCs w:val="2"/>
                <w:color w:val="auto"/>
              </w:rPr>
            </w:pPr>
          </w:p>
        </w:tc>
        <w:tc>
          <w:tcPr>
            <w:tcW w:w="120" w:type="dxa"/>
            <w:vAlign w:val="bottom"/>
            <w:shd w:val="clear" w:color="auto" w:fill="DDDDDD"/>
          </w:tcPr>
          <w:p>
            <w:pPr>
              <w:spacing w:after="0"/>
              <w:rPr>
                <w:sz w:val="2"/>
                <w:szCs w:val="2"/>
                <w:color w:val="auto"/>
              </w:rPr>
            </w:pPr>
          </w:p>
        </w:tc>
        <w:tc>
          <w:tcPr>
            <w:tcW w:w="96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360" w:type="dxa"/>
            <w:vAlign w:val="bottom"/>
            <w:shd w:val="clear" w:color="auto" w:fill="DDDDDD"/>
          </w:tcPr>
          <w:p>
            <w:pPr>
              <w:spacing w:after="0"/>
              <w:rPr>
                <w:sz w:val="2"/>
                <w:szCs w:val="2"/>
                <w:color w:val="auto"/>
              </w:rPr>
            </w:pPr>
          </w:p>
        </w:tc>
        <w:tc>
          <w:tcPr>
            <w:tcW w:w="720" w:type="dxa"/>
            <w:vAlign w:val="bottom"/>
            <w:shd w:val="clear" w:color="auto" w:fill="DDDDD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Postpaid net account additions decreased 122,000, or 31%, for the three months ended September 30, 2026, primarily from higher account deactivations driven by higher average broadband-only accounts which have higher churn, the temporary impact of our rate plan modernization and the impact of a growing account base, including following the acquisitions of UScellular and Metronet.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Postpaid net account additions decreased 151,000, or 16%, for the nine months ended September 30, 2026, primarily from:</w:t>
      </w:r>
    </w:p>
    <w:p>
      <w:pPr>
        <w:spacing w:after="0" w:line="252" w:lineRule="exact"/>
        <w:rPr>
          <w:sz w:val="20"/>
          <w:szCs w:val="20"/>
          <w:color w:val="auto"/>
        </w:rPr>
      </w:pPr>
    </w:p>
    <w:p>
      <w:pPr>
        <w:ind w:left="660" w:right="140" w:hanging="328"/>
        <w:spacing w:after="0" w:line="28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account deactivations driven by higher average broadband-only accounts which have higher churn, the impact of a growing account base, including following the acquisitions of UScellular and Metronet, and higher industry switching;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gross account additions, including fiber account additions following the acquisitions of Metronet and Lumos.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Postpaid Account Churn</w:t>
      </w:r>
    </w:p>
    <w:p>
      <w:pPr>
        <w:spacing w:after="0" w:line="25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Postpaid account churn represents the number of postpaid accounts whose service was deactivated as a percentage of the average number of postpaid accounts during the specified period further divided by the number of months in the period. The number of postpaid accounts whose service was deactivated is calculated net of accounts that subsequently had their service restored within a certain period of time and excludes accounts who received service for less than a certain minimum period of time, account mergers and account migrations. We believe that postpaid account churn provides management, investors and analysts with useful information to evaluate customer retention and loyalty.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94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2240" w:type="dxa"/>
            <w:vAlign w:val="bottom"/>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00" w:type="dxa"/>
            <w:vAlign w:val="bottom"/>
          </w:tcPr>
          <w:p>
            <w:pPr>
              <w:spacing w:after="0"/>
              <w:rPr>
                <w:sz w:val="15"/>
                <w:szCs w:val="15"/>
                <w:color w:val="auto"/>
              </w:rPr>
            </w:pPr>
          </w:p>
        </w:tc>
        <w:tc>
          <w:tcPr>
            <w:tcW w:w="960" w:type="dxa"/>
            <w:vAlign w:val="bottom"/>
            <w:shd w:val="clear" w:color="auto" w:fill="E20074"/>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00" w:type="dxa"/>
            <w:vAlign w:val="bottom"/>
          </w:tcPr>
          <w:p>
            <w:pPr>
              <w:spacing w:after="0"/>
              <w:rPr>
                <w:sz w:val="15"/>
                <w:szCs w:val="15"/>
                <w:color w:val="auto"/>
              </w:rPr>
            </w:pPr>
          </w:p>
        </w:tc>
        <w:tc>
          <w:tcPr>
            <w:tcW w:w="960" w:type="dxa"/>
            <w:vAlign w:val="bottom"/>
            <w:shd w:val="clear" w:color="auto" w:fill="E20074"/>
          </w:tcPr>
          <w:p>
            <w:pPr>
              <w:spacing w:after="0"/>
              <w:rPr>
                <w:sz w:val="15"/>
                <w:szCs w:val="15"/>
                <w:color w:val="auto"/>
              </w:rPr>
            </w:pPr>
          </w:p>
        </w:tc>
      </w:tr>
      <w:tr>
        <w:trPr>
          <w:trHeight w:val="203"/>
        </w:trPr>
        <w:tc>
          <w:tcPr>
            <w:tcW w:w="4520" w:type="dxa"/>
            <w:vAlign w:val="bottom"/>
          </w:tcPr>
          <w:p>
            <w:pPr>
              <w:spacing w:after="0"/>
              <w:rPr>
                <w:sz w:val="17"/>
                <w:szCs w:val="17"/>
                <w:color w:val="auto"/>
              </w:rPr>
            </w:pPr>
          </w:p>
        </w:tc>
        <w:tc>
          <w:tcPr>
            <w:tcW w:w="1560" w:type="dxa"/>
            <w:vAlign w:val="bottom"/>
            <w:gridSpan w:val="3"/>
            <w:shd w:val="clear" w:color="auto" w:fill="E20074"/>
          </w:tcPr>
          <w:p>
            <w:pPr>
              <w:jc w:val="center"/>
              <w:ind w:left="6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68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shd w:val="clear" w:color="auto" w:fill="E20074"/>
          </w:tcPr>
          <w:p>
            <w:pPr>
              <w:jc w:val="center"/>
              <w:ind w:left="6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68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shd w:val="clear" w:color="auto" w:fill="E20074"/>
          </w:tcPr>
          <w:p>
            <w:pPr>
              <w:spacing w:after="0"/>
              <w:rPr>
                <w:sz w:val="17"/>
                <w:szCs w:val="17"/>
                <w:color w:val="auto"/>
              </w:rPr>
            </w:pPr>
          </w:p>
        </w:tc>
      </w:tr>
      <w:tr>
        <w:trPr>
          <w:trHeight w:val="209"/>
        </w:trPr>
        <w:tc>
          <w:tcPr>
            <w:tcW w:w="4520" w:type="dxa"/>
            <w:vAlign w:val="bottom"/>
          </w:tcPr>
          <w:p>
            <w:pPr>
              <w:spacing w:after="0"/>
              <w:rPr>
                <w:sz w:val="18"/>
                <w:szCs w:val="18"/>
                <w:color w:val="auto"/>
              </w:rPr>
            </w:pPr>
          </w:p>
        </w:tc>
        <w:tc>
          <w:tcPr>
            <w:tcW w:w="106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8"/>
                <w:szCs w:val="18"/>
                <w:color w:val="auto"/>
              </w:rPr>
            </w:pPr>
          </w:p>
        </w:tc>
        <w:tc>
          <w:tcPr>
            <w:tcW w:w="38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w w:val="99"/>
              </w:rPr>
              <w:t>2025</w:t>
            </w:r>
          </w:p>
        </w:tc>
        <w:tc>
          <w:tcPr>
            <w:tcW w:w="10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ind w:left="24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120" w:type="dxa"/>
            <w:vAlign w:val="bottom"/>
          </w:tcPr>
          <w:p>
            <w:pPr>
              <w:spacing w:after="0"/>
              <w:rPr>
                <w:sz w:val="18"/>
                <w:szCs w:val="18"/>
                <w:color w:val="auto"/>
              </w:rPr>
            </w:pPr>
          </w:p>
        </w:tc>
        <w:tc>
          <w:tcPr>
            <w:tcW w:w="106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40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w w:val="99"/>
              </w:rPr>
              <w:t>2025</w:t>
            </w:r>
          </w:p>
        </w:tc>
        <w:tc>
          <w:tcPr>
            <w:tcW w:w="100" w:type="dxa"/>
            <w:vAlign w:val="bottom"/>
          </w:tcPr>
          <w:p>
            <w:pPr>
              <w:spacing w:after="0"/>
              <w:rPr>
                <w:sz w:val="18"/>
                <w:szCs w:val="18"/>
                <w:color w:val="auto"/>
              </w:rPr>
            </w:pPr>
          </w:p>
        </w:tc>
        <w:tc>
          <w:tcPr>
            <w:tcW w:w="960" w:type="dxa"/>
            <w:vAlign w:val="bottom"/>
            <w:tcBorders>
              <w:bottom w:val="single" w:sz="8" w:color="E20074"/>
            </w:tcBorders>
            <w:shd w:val="clear" w:color="auto" w:fill="E20074"/>
          </w:tcPr>
          <w:p>
            <w:pPr>
              <w:ind w:left="240"/>
              <w:spacing w:after="0"/>
              <w:rPr>
                <w:sz w:val="20"/>
                <w:szCs w:val="20"/>
                <w:color w:val="auto"/>
              </w:rPr>
            </w:pPr>
            <w:r>
              <w:rPr>
                <w:rFonts w:ascii="Times New Roman" w:cs="Times New Roman" w:eastAsia="Times New Roman" w:hAnsi="Times New Roman"/>
                <w:sz w:val="14"/>
                <w:szCs w:val="14"/>
                <w:b w:val="1"/>
                <w:bCs w:val="1"/>
                <w:color w:val="FFFFFF"/>
              </w:rPr>
              <w:t>Change</w:t>
            </w:r>
          </w:p>
        </w:tc>
      </w:tr>
      <w:tr>
        <w:trPr>
          <w:trHeight w:val="206"/>
        </w:trPr>
        <w:tc>
          <w:tcPr>
            <w:tcW w:w="45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Postpaid account churn</w:t>
            </w: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0.97 %</w:t>
            </w: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4"/>
                <w:szCs w:val="14"/>
                <w:color w:val="auto"/>
              </w:rPr>
              <w:t>12 bps</w:t>
            </w:r>
          </w:p>
        </w:tc>
        <w:tc>
          <w:tcPr>
            <w:tcW w:w="11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0.94 %</w:t>
            </w:r>
          </w:p>
        </w:tc>
        <w:tc>
          <w:tcPr>
            <w:tcW w:w="100" w:type="dxa"/>
            <w:vAlign w:val="bottom"/>
            <w:shd w:val="clear" w:color="auto" w:fill="DBDBDB"/>
          </w:tcPr>
          <w:p>
            <w:pPr>
              <w:spacing w:after="0"/>
              <w:rPr>
                <w:sz w:val="17"/>
                <w:szCs w:val="17"/>
                <w:color w:val="auto"/>
              </w:rPr>
            </w:pPr>
          </w:p>
        </w:tc>
        <w:tc>
          <w:tcPr>
            <w:tcW w:w="960" w:type="dxa"/>
            <w:vAlign w:val="bottom"/>
            <w:shd w:val="clear" w:color="auto" w:fill="DBDBDB"/>
          </w:tcPr>
          <w:p>
            <w:pPr>
              <w:ind w:left="560"/>
              <w:spacing w:after="0"/>
              <w:rPr>
                <w:sz w:val="20"/>
                <w:szCs w:val="20"/>
                <w:color w:val="auto"/>
              </w:rPr>
            </w:pPr>
            <w:r>
              <w:rPr>
                <w:rFonts w:ascii="Times New Roman" w:cs="Times New Roman" w:eastAsia="Times New Roman" w:hAnsi="Times New Roman"/>
                <w:sz w:val="14"/>
                <w:szCs w:val="14"/>
                <w:color w:val="auto"/>
              </w:rPr>
              <w:t>10 bps</w:t>
            </w:r>
          </w:p>
        </w:tc>
      </w:tr>
      <w:tr>
        <w:trPr>
          <w:trHeight w:val="23"/>
        </w:trPr>
        <w:tc>
          <w:tcPr>
            <w:tcW w:w="452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8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40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Postpaid account churn increased 12 basis points for the three months ended September 30, 2026, primarily from:</w:t>
      </w:r>
    </w:p>
    <w:p>
      <w:pPr>
        <w:spacing w:after="0" w:line="25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broadband-only accounts which have higher churn;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temporary impact of our rate plan modernization.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Postpaid account churn increased 10 basis points for the nine months ended September 30, 2026, primarily from:</w:t>
      </w:r>
    </w:p>
    <w:p>
      <w:pPr>
        <w:spacing w:after="0" w:line="25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broadband-only accounts which have higher churn, including following the acquisitions of Metronet and Lumos;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industry switching.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Postpaid Average Revenue Per Account</w:t>
      </w:r>
    </w:p>
    <w:p>
      <w:pPr>
        <w:spacing w:after="0" w:line="25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Postpaid Average Revenue per Account (“ARPA”) represents the average monthly postpaid service revenue earned per account. Postpaid ARPA is calculated as Postpaid revenues for the specified period divided by the average number of postpaid accounts during the period, further divided by the number of months in the period. We believe postpaid ARPA provides management, investors and analysts with useful information to assess and evaluate our postpaid service revenue realization and assists in forecasting our future postpaid service revenues on a per account basis. We consider postpaid ARPA to be indicative of our revenue growth potential, given management’s priority on growing high-value accounts through deepening customer relationships.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measure ARPA: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94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220" w:type="dxa"/>
            <w:vAlign w:val="bottom"/>
            <w:shd w:val="clear" w:color="auto" w:fill="E20074"/>
          </w:tcPr>
          <w:p>
            <w:pPr>
              <w:spacing w:after="0"/>
              <w:rPr>
                <w:sz w:val="15"/>
                <w:szCs w:val="15"/>
                <w:color w:val="auto"/>
              </w:rPr>
            </w:pPr>
          </w:p>
        </w:tc>
        <w:tc>
          <w:tcPr>
            <w:tcW w:w="1800" w:type="dxa"/>
            <w:vAlign w:val="bottom"/>
            <w:gridSpan w:val="4"/>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20" w:type="dxa"/>
            <w:vAlign w:val="bottom"/>
          </w:tcPr>
          <w:p>
            <w:pPr>
              <w:spacing w:after="0"/>
              <w:rPr>
                <w:sz w:val="15"/>
                <w:szCs w:val="15"/>
                <w:color w:val="auto"/>
              </w:rPr>
            </w:pPr>
          </w:p>
        </w:tc>
        <w:tc>
          <w:tcPr>
            <w:tcW w:w="260" w:type="dxa"/>
            <w:vAlign w:val="bottom"/>
            <w:shd w:val="clear" w:color="auto" w:fill="E20074"/>
          </w:tcPr>
          <w:p>
            <w:pPr>
              <w:spacing w:after="0"/>
              <w:rPr>
                <w:sz w:val="15"/>
                <w:szCs w:val="15"/>
                <w:color w:val="auto"/>
              </w:rPr>
            </w:pPr>
          </w:p>
        </w:tc>
        <w:tc>
          <w:tcPr>
            <w:tcW w:w="1140" w:type="dxa"/>
            <w:vAlign w:val="bottom"/>
            <w:gridSpan w:val="3"/>
            <w:vMerge w:val="restart"/>
            <w:shd w:val="clear" w:color="auto" w:fill="E20074"/>
          </w:tcPr>
          <w:p>
            <w:pPr>
              <w:ind w:left="56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shd w:val="clear" w:color="auto" w:fill="E20074"/>
          </w:tcPr>
          <w:p>
            <w:pPr>
              <w:spacing w:after="0"/>
              <w:rPr>
                <w:sz w:val="15"/>
                <w:szCs w:val="15"/>
                <w:color w:val="auto"/>
              </w:rPr>
            </w:pPr>
          </w:p>
        </w:tc>
        <w:tc>
          <w:tcPr>
            <w:tcW w:w="1820" w:type="dxa"/>
            <w:vAlign w:val="bottom"/>
            <w:gridSpan w:val="4"/>
            <w:shd w:val="clear" w:color="auto" w:fill="E20074"/>
          </w:tcPr>
          <w:p>
            <w:pPr>
              <w:jc w:val="center"/>
              <w:ind w:right="16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00" w:type="dxa"/>
            <w:vAlign w:val="bottom"/>
          </w:tcPr>
          <w:p>
            <w:pPr>
              <w:spacing w:after="0"/>
              <w:rPr>
                <w:sz w:val="15"/>
                <w:szCs w:val="15"/>
                <w:color w:val="auto"/>
              </w:rPr>
            </w:pPr>
          </w:p>
        </w:tc>
        <w:tc>
          <w:tcPr>
            <w:tcW w:w="280" w:type="dxa"/>
            <w:vAlign w:val="bottom"/>
            <w:shd w:val="clear" w:color="auto" w:fill="E20074"/>
          </w:tcPr>
          <w:p>
            <w:pPr>
              <w:spacing w:after="0"/>
              <w:rPr>
                <w:sz w:val="15"/>
                <w:szCs w:val="15"/>
                <w:color w:val="auto"/>
              </w:rPr>
            </w:pPr>
          </w:p>
        </w:tc>
        <w:tc>
          <w:tcPr>
            <w:tcW w:w="1140" w:type="dxa"/>
            <w:vAlign w:val="bottom"/>
            <w:gridSpan w:val="3"/>
            <w:vMerge w:val="restart"/>
            <w:shd w:val="clear" w:color="auto" w:fill="E20074"/>
          </w:tcPr>
          <w:p>
            <w:pPr>
              <w:ind w:left="56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220" w:type="dxa"/>
            <w:vAlign w:val="bottom"/>
            <w:shd w:val="clear" w:color="auto" w:fill="E20074"/>
          </w:tcPr>
          <w:p>
            <w:pPr>
              <w:spacing w:after="0"/>
              <w:rPr>
                <w:sz w:val="17"/>
                <w:szCs w:val="17"/>
                <w:color w:val="auto"/>
              </w:rPr>
            </w:pPr>
          </w:p>
        </w:tc>
        <w:tc>
          <w:tcPr>
            <w:tcW w:w="1800" w:type="dxa"/>
            <w:vAlign w:val="bottom"/>
            <w:gridSpan w:val="4"/>
            <w:shd w:val="clear" w:color="auto" w:fill="E20074"/>
          </w:tcPr>
          <w:p>
            <w:pPr>
              <w:ind w:left="360"/>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2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4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820" w:type="dxa"/>
            <w:vAlign w:val="bottom"/>
            <w:gridSpan w:val="4"/>
            <w:shd w:val="clear" w:color="auto" w:fill="E20074"/>
          </w:tcPr>
          <w:p>
            <w:pPr>
              <w:jc w:val="center"/>
              <w:ind w:right="14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7"/>
                <w:szCs w:val="17"/>
                <w:color w:val="auto"/>
              </w:rPr>
            </w:pPr>
          </w:p>
        </w:tc>
        <w:tc>
          <w:tcPr>
            <w:tcW w:w="280" w:type="dxa"/>
            <w:vAlign w:val="bottom"/>
            <w:shd w:val="clear" w:color="auto" w:fill="E20074"/>
          </w:tcPr>
          <w:p>
            <w:pPr>
              <w:spacing w:after="0"/>
              <w:rPr>
                <w:sz w:val="17"/>
                <w:szCs w:val="17"/>
                <w:color w:val="auto"/>
              </w:rPr>
            </w:pPr>
          </w:p>
        </w:tc>
        <w:tc>
          <w:tcPr>
            <w:tcW w:w="114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12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76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8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2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06"/>
        </w:trPr>
        <w:tc>
          <w:tcPr>
            <w:tcW w:w="260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Postpaid ARPA</w:t>
            </w:r>
          </w:p>
        </w:tc>
        <w:tc>
          <w:tcPr>
            <w:tcW w:w="22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155.73</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149.44</w:t>
            </w:r>
          </w:p>
        </w:tc>
        <w:tc>
          <w:tcPr>
            <w:tcW w:w="3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040" w:type="dxa"/>
            <w:vAlign w:val="bottom"/>
            <w:gridSpan w:val="3"/>
            <w:shd w:val="clear" w:color="auto" w:fill="DDDDDD"/>
          </w:tcPr>
          <w:p>
            <w:pPr>
              <w:jc w:val="right"/>
              <w:ind w:right="120"/>
              <w:spacing w:after="0"/>
              <w:rPr>
                <w:sz w:val="20"/>
                <w:szCs w:val="20"/>
                <w:color w:val="auto"/>
              </w:rPr>
            </w:pPr>
            <w:r>
              <w:rPr>
                <w:rFonts w:ascii="Times New Roman" w:cs="Times New Roman" w:eastAsia="Times New Roman" w:hAnsi="Times New Roman"/>
                <w:sz w:val="14"/>
                <w:szCs w:val="14"/>
                <w:color w:val="auto"/>
              </w:rPr>
              <w:t>4 %  $</w:t>
            </w:r>
          </w:p>
        </w:tc>
        <w:tc>
          <w:tcPr>
            <w:tcW w:w="76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153.53</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148.54</w:t>
            </w:r>
          </w:p>
        </w:tc>
        <w:tc>
          <w:tcPr>
            <w:tcW w:w="3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3"/>
        </w:trPr>
        <w:tc>
          <w:tcPr>
            <w:tcW w:w="2600" w:type="dxa"/>
            <w:vAlign w:val="bottom"/>
            <w:shd w:val="clear" w:color="auto" w:fill="DDDDDD"/>
          </w:tcPr>
          <w:p>
            <w:pPr>
              <w:spacing w:after="0"/>
              <w:rPr>
                <w:sz w:val="2"/>
                <w:szCs w:val="2"/>
                <w:color w:val="auto"/>
              </w:rPr>
            </w:pPr>
          </w:p>
        </w:tc>
        <w:tc>
          <w:tcPr>
            <w:tcW w:w="220" w:type="dxa"/>
            <w:vAlign w:val="bottom"/>
            <w:shd w:val="clear" w:color="auto" w:fill="DDDDDD"/>
          </w:tcPr>
          <w:p>
            <w:pPr>
              <w:spacing w:after="0"/>
              <w:rPr>
                <w:sz w:val="2"/>
                <w:szCs w:val="2"/>
                <w:color w:val="auto"/>
              </w:rPr>
            </w:pPr>
          </w:p>
        </w:tc>
        <w:tc>
          <w:tcPr>
            <w:tcW w:w="74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220" w:type="dxa"/>
            <w:vAlign w:val="bottom"/>
            <w:shd w:val="clear" w:color="auto" w:fill="DDDDDD"/>
          </w:tcPr>
          <w:p>
            <w:pPr>
              <w:spacing w:after="0"/>
              <w:rPr>
                <w:sz w:val="2"/>
                <w:szCs w:val="2"/>
                <w:color w:val="auto"/>
              </w:rPr>
            </w:pPr>
          </w:p>
        </w:tc>
        <w:tc>
          <w:tcPr>
            <w:tcW w:w="740" w:type="dxa"/>
            <w:vAlign w:val="bottom"/>
            <w:shd w:val="clear" w:color="auto" w:fill="DDDDDD"/>
          </w:tcPr>
          <w:p>
            <w:pPr>
              <w:spacing w:after="0"/>
              <w:rPr>
                <w:sz w:val="2"/>
                <w:szCs w:val="2"/>
                <w:color w:val="auto"/>
              </w:rPr>
            </w:pPr>
          </w:p>
        </w:tc>
        <w:tc>
          <w:tcPr>
            <w:tcW w:w="120" w:type="dxa"/>
            <w:vAlign w:val="bottom"/>
            <w:shd w:val="clear" w:color="auto" w:fill="DDDDDD"/>
          </w:tcPr>
          <w:p>
            <w:pPr>
              <w:spacing w:after="0"/>
              <w:rPr>
                <w:sz w:val="2"/>
                <w:szCs w:val="2"/>
                <w:color w:val="auto"/>
              </w:rPr>
            </w:pPr>
          </w:p>
        </w:tc>
        <w:tc>
          <w:tcPr>
            <w:tcW w:w="260" w:type="dxa"/>
            <w:vAlign w:val="bottom"/>
            <w:shd w:val="clear" w:color="auto" w:fill="DDDDDD"/>
          </w:tcPr>
          <w:p>
            <w:pPr>
              <w:spacing w:after="0"/>
              <w:rPr>
                <w:sz w:val="2"/>
                <w:szCs w:val="2"/>
                <w:color w:val="auto"/>
              </w:rPr>
            </w:pPr>
          </w:p>
        </w:tc>
        <w:tc>
          <w:tcPr>
            <w:tcW w:w="70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340" w:type="dxa"/>
            <w:vAlign w:val="bottom"/>
            <w:shd w:val="clear" w:color="auto" w:fill="DDDDDD"/>
          </w:tcPr>
          <w:p>
            <w:pPr>
              <w:spacing w:after="0"/>
              <w:rPr>
                <w:sz w:val="2"/>
                <w:szCs w:val="2"/>
                <w:color w:val="auto"/>
              </w:rPr>
            </w:pPr>
          </w:p>
        </w:tc>
        <w:tc>
          <w:tcPr>
            <w:tcW w:w="720" w:type="dxa"/>
            <w:vAlign w:val="bottom"/>
            <w:shd w:val="clear" w:color="auto" w:fill="DDDDDD"/>
          </w:tcPr>
          <w:p>
            <w:pPr>
              <w:spacing w:after="0"/>
              <w:rPr>
                <w:sz w:val="2"/>
                <w:szCs w:val="2"/>
                <w:color w:val="auto"/>
              </w:rPr>
            </w:pPr>
          </w:p>
        </w:tc>
        <w:tc>
          <w:tcPr>
            <w:tcW w:w="120" w:type="dxa"/>
            <w:vAlign w:val="bottom"/>
            <w:shd w:val="clear" w:color="auto" w:fill="DDDDDD"/>
          </w:tcPr>
          <w:p>
            <w:pPr>
              <w:spacing w:after="0"/>
              <w:rPr>
                <w:sz w:val="2"/>
                <w:szCs w:val="2"/>
                <w:color w:val="auto"/>
              </w:rPr>
            </w:pPr>
          </w:p>
        </w:tc>
        <w:tc>
          <w:tcPr>
            <w:tcW w:w="200" w:type="dxa"/>
            <w:vAlign w:val="bottom"/>
            <w:shd w:val="clear" w:color="auto" w:fill="DDDDDD"/>
          </w:tcPr>
          <w:p>
            <w:pPr>
              <w:spacing w:after="0"/>
              <w:rPr>
                <w:sz w:val="2"/>
                <w:szCs w:val="2"/>
                <w:color w:val="auto"/>
              </w:rPr>
            </w:pPr>
          </w:p>
        </w:tc>
        <w:tc>
          <w:tcPr>
            <w:tcW w:w="76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220" w:type="dxa"/>
            <w:vAlign w:val="bottom"/>
            <w:shd w:val="clear" w:color="auto" w:fill="DDDDDD"/>
          </w:tcPr>
          <w:p>
            <w:pPr>
              <w:spacing w:after="0"/>
              <w:rPr>
                <w:sz w:val="2"/>
                <w:szCs w:val="2"/>
                <w:color w:val="auto"/>
              </w:rPr>
            </w:pPr>
          </w:p>
        </w:tc>
        <w:tc>
          <w:tcPr>
            <w:tcW w:w="740" w:type="dxa"/>
            <w:vAlign w:val="bottom"/>
            <w:shd w:val="clear" w:color="auto" w:fill="DDDDDD"/>
          </w:tcPr>
          <w:p>
            <w:pPr>
              <w:spacing w:after="0"/>
              <w:rPr>
                <w:sz w:val="2"/>
                <w:szCs w:val="2"/>
                <w:color w:val="auto"/>
              </w:rPr>
            </w:pPr>
          </w:p>
        </w:tc>
        <w:tc>
          <w:tcPr>
            <w:tcW w:w="100" w:type="dxa"/>
            <w:vAlign w:val="bottom"/>
            <w:shd w:val="clear" w:color="auto" w:fill="DDDDDD"/>
          </w:tcPr>
          <w:p>
            <w:pPr>
              <w:spacing w:after="0"/>
              <w:rPr>
                <w:sz w:val="2"/>
                <w:szCs w:val="2"/>
                <w:color w:val="auto"/>
              </w:rPr>
            </w:pPr>
          </w:p>
        </w:tc>
        <w:tc>
          <w:tcPr>
            <w:tcW w:w="280" w:type="dxa"/>
            <w:vAlign w:val="bottom"/>
            <w:shd w:val="clear" w:color="auto" w:fill="DDDDDD"/>
          </w:tcPr>
          <w:p>
            <w:pPr>
              <w:spacing w:after="0"/>
              <w:rPr>
                <w:sz w:val="2"/>
                <w:szCs w:val="2"/>
                <w:color w:val="auto"/>
              </w:rPr>
            </w:pPr>
          </w:p>
        </w:tc>
        <w:tc>
          <w:tcPr>
            <w:tcW w:w="680" w:type="dxa"/>
            <w:vAlign w:val="bottom"/>
            <w:shd w:val="clear" w:color="auto" w:fill="DDDDDD"/>
          </w:tcPr>
          <w:p>
            <w:pPr>
              <w:spacing w:after="0"/>
              <w:rPr>
                <w:sz w:val="2"/>
                <w:szCs w:val="2"/>
                <w:color w:val="auto"/>
              </w:rPr>
            </w:pPr>
          </w:p>
        </w:tc>
        <w:tc>
          <w:tcPr>
            <w:tcW w:w="120" w:type="dxa"/>
            <w:vAlign w:val="bottom"/>
            <w:shd w:val="clear" w:color="auto" w:fill="DDDDDD"/>
          </w:tcPr>
          <w:p>
            <w:pPr>
              <w:spacing w:after="0"/>
              <w:rPr>
                <w:sz w:val="2"/>
                <w:szCs w:val="2"/>
                <w:color w:val="auto"/>
              </w:rPr>
            </w:pPr>
          </w:p>
        </w:tc>
        <w:tc>
          <w:tcPr>
            <w:tcW w:w="340" w:type="dxa"/>
            <w:vAlign w:val="bottom"/>
            <w:shd w:val="clear" w:color="auto" w:fill="DDDDDD"/>
          </w:tcPr>
          <w:p>
            <w:pPr>
              <w:spacing w:after="0"/>
              <w:rPr>
                <w:sz w:val="2"/>
                <w:szCs w:val="2"/>
                <w:color w:val="auto"/>
              </w:rPr>
            </w:pPr>
          </w:p>
        </w:tc>
        <w:tc>
          <w:tcPr>
            <w:tcW w:w="720" w:type="dxa"/>
            <w:vAlign w:val="bottom"/>
            <w:shd w:val="clear" w:color="auto" w:fill="DDDDD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Postpaid ARPA increased $6.29, or 4%, for the three months ended and increased $4.99, or 3%, for the nine months ended September 30,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fee revenue, including from the adoption of tax and fee exclusive plans, and the positive impact from our rate plan modernization; and</w:t>
      </w:r>
    </w:p>
    <w:p>
      <w:pPr>
        <w:spacing w:after="0" w:line="6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customers per account, including from the continued adoption of 5G broadband and continued growth of T-Mobile for Business accounts, partially offset by fiber and UScellular accounts with fewer customers per account;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promotional activity, including the success of bundled offerings.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right="340" w:hanging="328"/>
        <w:spacing w:after="0" w:line="281"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Higher fee revenue, including from the adoption of tax and fee exclusive plans, and the positive impacts from our rate plan optimization in the prior year and rate plan modernization; and</w:t>
      </w:r>
    </w:p>
    <w:p>
      <w:pPr>
        <w:spacing w:after="0" w:line="1" w:lineRule="exact"/>
        <w:rPr>
          <w:rFonts w:ascii="Times New Roman" w:cs="Times New Roman" w:eastAsia="Times New Roman" w:hAnsi="Times New Roman"/>
          <w:sz w:val="18"/>
          <w:szCs w:val="18"/>
          <w:i w:val="1"/>
          <w:iCs w:val="1"/>
          <w:color w:val="auto"/>
        </w:rPr>
      </w:pPr>
    </w:p>
    <w:p>
      <w:pPr>
        <w:ind w:left="660" w:right="300" w:hanging="328"/>
        <w:spacing w:after="0" w:line="28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customers per account, including from the continued adoption of 5G broadband and continued growth of T-Mobile for Business accounts, partially offset by fiber and UScellular accounts with fewer customers per account;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promotional activity, including the success of bundled offerings.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Core Adjusted EBITDA</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Adjusted EBITDA represents earnings before Interest expense, net of Interest income, Income tax expense, Depreciation and amortization, stock-based compensation and certain expenses, gains and losses, which are not reflective of our ongoing operating performance (“Special Items”). Special Items include UScellular merger-related costs, costs associated with the Network Restructuring Initiative, certain legal-related expenses and recoveries, Impairment expense, restructuring costs not directly attributable to the UScellular Acquisition (including severance), and other non-core gains and losses. Core Adjusted EBITDA represents Adjusted EBITDA less device lease revenues. Adjusted EBITDA margin represents Adjusted EBITDA divided by Service revenues. Core Adjusted EBITDA margin represents Core Adjusted EBITDA divided by Service revenues.</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Core Adjusted EBITDA and Core Adjusted EBITDA margin are non-GAAP financial measures utilized by our management, including our chief operating decision maker, to monitor the financial performance of our operations and allocate resources of the Company as a whole. We historically used Adjusted EBITDA, and we currently use Core Adjusted EBITDA internally as a measure to evaluate and compensate our personnel and management for their performance. We use Adjusted EBITDA and Core Adjusted EBITDA as benchmarks to evaluate our operating performance in comparison to our competitors. Management believes analysts and investors use Adjusted EBITDA and Core Adjusted EBITDA as supplemental measures to evaluate overall operating performance and to facilitate comparisons with other wireless communications and broadband services companies because they are indicative of our ongoing operating performance and trends by excluding the impact of interest expense from financing, depreciation and amortization from capital investments, stock-based compensation and Special Items. Management believes analysts and investors use Core Adjusted EBITDA because it normalizes for the transition in the Company’s device financing strategy, by excluding the impact of device lease revenues from Adjusted EBITDA, to align with the exclusion of the related depreciation expense on leased devices from Adjusted EBITDA. Adjusted EBITDA, Adjusted EBITDA margin, Core Adjusted EBITDA and Core Adjusted EBITDA margin have limitations as analytical tools and should not be considered in isolation or as substitutes for income from operations, net income or any other measure of financial performance reported in accordance with GAAP.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8"/>
          <w:szCs w:val="18"/>
          <w:color w:val="auto"/>
        </w:rPr>
        <w:t>The following table illustrates the calculation of Adjusted EBITDA and Core Adjusted EBITDA and reconciles Adjusted EBITDA and Core Adjusted EBITDA to Net income, which we consider to be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240" w:type="dxa"/>
            <w:vAlign w:val="bottom"/>
            <w:shd w:val="clear" w:color="auto" w:fill="E20074"/>
          </w:tcPr>
          <w:p>
            <w:pPr>
              <w:spacing w:after="0"/>
              <w:rPr>
                <w:sz w:val="15"/>
                <w:szCs w:val="15"/>
                <w:color w:val="auto"/>
              </w:rPr>
            </w:pPr>
          </w:p>
        </w:tc>
        <w:tc>
          <w:tcPr>
            <w:tcW w:w="1920" w:type="dxa"/>
            <w:vAlign w:val="bottom"/>
            <w:gridSpan w:val="4"/>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20" w:type="dxa"/>
            <w:vAlign w:val="bottom"/>
          </w:tcPr>
          <w:p>
            <w:pPr>
              <w:spacing w:after="0"/>
              <w:rPr>
                <w:sz w:val="15"/>
                <w:szCs w:val="15"/>
                <w:color w:val="auto"/>
              </w:rPr>
            </w:pPr>
          </w:p>
        </w:tc>
        <w:tc>
          <w:tcPr>
            <w:tcW w:w="240" w:type="dxa"/>
            <w:vAlign w:val="bottom"/>
            <w:shd w:val="clear" w:color="auto" w:fill="E20074"/>
          </w:tcPr>
          <w:p>
            <w:pPr>
              <w:spacing w:after="0"/>
              <w:rPr>
                <w:sz w:val="15"/>
                <w:szCs w:val="15"/>
                <w:color w:val="auto"/>
              </w:rPr>
            </w:pPr>
          </w:p>
        </w:tc>
        <w:tc>
          <w:tcPr>
            <w:tcW w:w="1100" w:type="dxa"/>
            <w:vAlign w:val="bottom"/>
            <w:gridSpan w:val="3"/>
            <w:vMerge w:val="restart"/>
            <w:shd w:val="clear" w:color="auto" w:fill="E20074"/>
          </w:tcPr>
          <w:p>
            <w:pPr>
              <w:ind w:left="54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00" w:type="dxa"/>
            <w:vAlign w:val="bottom"/>
            <w:shd w:val="clear" w:color="auto" w:fill="E20074"/>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shd w:val="clear" w:color="auto" w:fill="E20074"/>
          </w:tcPr>
          <w:p>
            <w:pPr>
              <w:spacing w:after="0"/>
              <w:rPr>
                <w:sz w:val="15"/>
                <w:szCs w:val="15"/>
                <w:color w:val="auto"/>
              </w:rPr>
            </w:pPr>
          </w:p>
        </w:tc>
        <w:tc>
          <w:tcPr>
            <w:tcW w:w="1960" w:type="dxa"/>
            <w:vAlign w:val="bottom"/>
            <w:gridSpan w:val="4"/>
            <w:shd w:val="clear" w:color="auto" w:fill="E20074"/>
          </w:tcPr>
          <w:p>
            <w:pPr>
              <w:jc w:val="right"/>
              <w:ind w:right="42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00" w:type="dxa"/>
            <w:vAlign w:val="bottom"/>
          </w:tcPr>
          <w:p>
            <w:pPr>
              <w:spacing w:after="0"/>
              <w:rPr>
                <w:sz w:val="15"/>
                <w:szCs w:val="15"/>
                <w:color w:val="auto"/>
              </w:rPr>
            </w:pPr>
          </w:p>
        </w:tc>
        <w:tc>
          <w:tcPr>
            <w:tcW w:w="260" w:type="dxa"/>
            <w:vAlign w:val="bottom"/>
            <w:shd w:val="clear" w:color="auto" w:fill="E20074"/>
          </w:tcPr>
          <w:p>
            <w:pPr>
              <w:spacing w:after="0"/>
              <w:rPr>
                <w:sz w:val="15"/>
                <w:szCs w:val="15"/>
                <w:color w:val="auto"/>
              </w:rPr>
            </w:pPr>
          </w:p>
        </w:tc>
        <w:tc>
          <w:tcPr>
            <w:tcW w:w="1120" w:type="dxa"/>
            <w:vAlign w:val="bottom"/>
            <w:gridSpan w:val="3"/>
            <w:vMerge w:val="restart"/>
            <w:shd w:val="clear" w:color="auto" w:fill="E20074"/>
          </w:tcPr>
          <w:p>
            <w:pPr>
              <w:ind w:left="54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680" w:type="dxa"/>
            <w:vAlign w:val="bottom"/>
            <w:shd w:val="clear" w:color="auto" w:fill="E20074"/>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1920" w:type="dxa"/>
            <w:vAlign w:val="bottom"/>
            <w:gridSpan w:val="4"/>
            <w:shd w:val="clear" w:color="auto" w:fill="E20074"/>
          </w:tcPr>
          <w:p>
            <w:pPr>
              <w:jc w:val="right"/>
              <w:ind w:right="56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2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1100" w:type="dxa"/>
            <w:vAlign w:val="bottom"/>
            <w:gridSpan w:val="3"/>
            <w:vMerge w:val="continue"/>
            <w:shd w:val="clear" w:color="auto" w:fill="E20074"/>
          </w:tcPr>
          <w:p>
            <w:pPr>
              <w:spacing w:after="0"/>
              <w:rPr>
                <w:sz w:val="17"/>
                <w:szCs w:val="17"/>
                <w:color w:val="auto"/>
              </w:rPr>
            </w:pPr>
          </w:p>
        </w:tc>
        <w:tc>
          <w:tcPr>
            <w:tcW w:w="70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1960" w:type="dxa"/>
            <w:vAlign w:val="bottom"/>
            <w:gridSpan w:val="4"/>
            <w:shd w:val="clear" w:color="auto" w:fill="E20074"/>
          </w:tcPr>
          <w:p>
            <w:pPr>
              <w:jc w:val="right"/>
              <w:ind w:right="58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20" w:type="dxa"/>
            <w:vAlign w:val="bottom"/>
            <w:gridSpan w:val="3"/>
            <w:vMerge w:val="continue"/>
            <w:shd w:val="clear" w:color="auto" w:fill="E20074"/>
          </w:tcPr>
          <w:p>
            <w:pPr>
              <w:spacing w:after="0"/>
              <w:rPr>
                <w:sz w:val="17"/>
                <w:szCs w:val="17"/>
                <w:color w:val="auto"/>
              </w:rPr>
            </w:pPr>
          </w:p>
        </w:tc>
        <w:tc>
          <w:tcPr>
            <w:tcW w:w="68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40" w:type="dxa"/>
            <w:vAlign w:val="bottom"/>
            <w:tcBorders>
              <w:bottom w:val="single" w:sz="8" w:color="E20074"/>
            </w:tcBorders>
            <w:shd w:val="clear" w:color="auto" w:fill="E20074"/>
          </w:tcPr>
          <w:p>
            <w:pPr>
              <w:spacing w:after="0"/>
              <w:rPr>
                <w:sz w:val="18"/>
                <w:szCs w:val="18"/>
                <w:color w:val="auto"/>
              </w:rPr>
            </w:pPr>
          </w:p>
        </w:tc>
        <w:tc>
          <w:tcPr>
            <w:tcW w:w="80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800" w:type="dxa"/>
            <w:vAlign w:val="bottom"/>
            <w:tcBorders>
              <w:bottom w:val="single" w:sz="8" w:color="E20074"/>
            </w:tcBorders>
            <w:shd w:val="clear" w:color="auto" w:fill="E20074"/>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20" w:type="dxa"/>
            <w:vAlign w:val="bottom"/>
          </w:tcPr>
          <w:p>
            <w:pPr>
              <w:spacing w:after="0"/>
              <w:rPr>
                <w:sz w:val="18"/>
                <w:szCs w:val="18"/>
                <w:color w:val="auto"/>
              </w:rPr>
            </w:pPr>
          </w:p>
        </w:tc>
        <w:tc>
          <w:tcPr>
            <w:tcW w:w="24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240" w:type="dxa"/>
            <w:vAlign w:val="bottom"/>
            <w:tcBorders>
              <w:bottom w:val="single" w:sz="8" w:color="E20074"/>
            </w:tcBorders>
            <w:shd w:val="clear" w:color="auto" w:fill="E20074"/>
          </w:tcPr>
          <w:p>
            <w:pPr>
              <w:spacing w:after="0"/>
              <w:rPr>
                <w:sz w:val="18"/>
                <w:szCs w:val="18"/>
                <w:color w:val="auto"/>
              </w:rPr>
            </w:pPr>
          </w:p>
        </w:tc>
        <w:tc>
          <w:tcPr>
            <w:tcW w:w="80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40" w:type="dxa"/>
            <w:vAlign w:val="bottom"/>
            <w:tcBorders>
              <w:bottom w:val="single" w:sz="8" w:color="E20074"/>
            </w:tcBorders>
            <w:shd w:val="clear" w:color="auto" w:fill="E20074"/>
          </w:tcPr>
          <w:p>
            <w:pPr>
              <w:spacing w:after="0"/>
              <w:rPr>
                <w:sz w:val="18"/>
                <w:szCs w:val="18"/>
                <w:color w:val="auto"/>
              </w:rPr>
            </w:pPr>
          </w:p>
        </w:tc>
        <w:tc>
          <w:tcPr>
            <w:tcW w:w="82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w:t>
            </w:r>
          </w:p>
        </w:tc>
        <w:tc>
          <w:tcPr>
            <w:tcW w:w="12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10"/>
        </w:trPr>
        <w:tc>
          <w:tcPr>
            <w:tcW w:w="24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3,455</w:t>
            </w:r>
          </w:p>
        </w:tc>
        <w:tc>
          <w:tcPr>
            <w:tcW w:w="32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2,714</w:t>
            </w:r>
          </w:p>
        </w:tc>
        <w:tc>
          <w:tcPr>
            <w:tcW w:w="360" w:type="dxa"/>
            <w:vAlign w:val="bottom"/>
            <w:tcBorders>
              <w:bottom w:val="single" w:sz="8" w:color="DDDDDD"/>
            </w:tcBorders>
            <w:gridSpan w:val="2"/>
            <w:shd w:val="clear" w:color="auto" w:fill="DDDDDD"/>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340" w:type="dxa"/>
            <w:vAlign w:val="bottom"/>
            <w:tcBorders>
              <w:bottom w:val="single" w:sz="8" w:color="DDDDDD"/>
            </w:tcBorders>
            <w:gridSpan w:val="2"/>
            <w:shd w:val="clear" w:color="auto" w:fill="DDDDDD"/>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9,198</w:t>
            </w:r>
          </w:p>
        </w:tc>
        <w:tc>
          <w:tcPr>
            <w:tcW w:w="340" w:type="dxa"/>
            <w:vAlign w:val="bottom"/>
            <w:tcBorders>
              <w:bottom w:val="single" w:sz="8" w:color="DDDDDD"/>
            </w:tcBorders>
            <w:gridSpan w:val="2"/>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8,889</w:t>
            </w:r>
          </w:p>
        </w:tc>
        <w:tc>
          <w:tcPr>
            <w:tcW w:w="360" w:type="dxa"/>
            <w:vAlign w:val="bottom"/>
            <w:tcBorders>
              <w:bottom w:val="single" w:sz="8" w:color="DDDDDD"/>
            </w:tcBorders>
            <w:gridSpan w:val="2"/>
            <w:shd w:val="clear" w:color="auto" w:fill="DDDDDD"/>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24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82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2,762</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93"/>
        </w:trPr>
        <w:tc>
          <w:tcPr>
            <w:tcW w:w="2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expense, net</w:t>
            </w:r>
          </w:p>
        </w:tc>
        <w:tc>
          <w:tcPr>
            <w:tcW w:w="24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3,004</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82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5,661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15,648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14,543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3,408</w:t>
            </w:r>
          </w:p>
        </w:tc>
        <w:tc>
          <w:tcPr>
            <w:tcW w:w="12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10,703</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82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9,752</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2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216"/>
        </w:trPr>
        <w:tc>
          <w:tcPr>
            <w:tcW w:w="2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UScellular merger-related costs</w:t>
            </w:r>
          </w:p>
        </w:tc>
        <w:tc>
          <w:tcPr>
            <w:tcW w:w="24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spacing w:after="0"/>
              <w:rPr>
                <w:sz w:val="17"/>
                <w:szCs w:val="17"/>
                <w:color w:val="auto"/>
              </w:rPr>
            </w:pPr>
          </w:p>
        </w:tc>
        <w:tc>
          <w:tcPr>
            <w:tcW w:w="82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r>
        <w:trPr>
          <w:trHeight w:val="193"/>
        </w:trPr>
        <w:tc>
          <w:tcPr>
            <w:tcW w:w="2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Network Restructuring Initiative costs</w:t>
            </w:r>
          </w:p>
        </w:tc>
        <w:tc>
          <w:tcPr>
            <w:tcW w:w="24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 xml:space="preserve">Legal-related expenses, net </w:t>
            </w:r>
            <w:r>
              <w:rPr>
                <w:rFonts w:ascii="Times New Roman" w:cs="Times New Roman" w:eastAsia="Times New Roman" w:hAnsi="Times New Roman"/>
                <w:sz w:val="18"/>
                <w:szCs w:val="18"/>
                <w:color w:val="auto"/>
                <w:vertAlign w:val="superscript"/>
              </w:rPr>
              <w:t>(2)</w:t>
            </w:r>
          </w:p>
        </w:tc>
        <w:tc>
          <w:tcPr>
            <w:tcW w:w="240" w:type="dxa"/>
            <w:vAlign w:val="bottom"/>
            <w:shd w:val="clear" w:color="auto" w:fill="DDDDDD"/>
          </w:tcPr>
          <w:p>
            <w:pPr>
              <w:spacing w:after="0"/>
              <w:rPr>
                <w:sz w:val="18"/>
                <w:szCs w:val="18"/>
                <w:color w:val="auto"/>
              </w:rPr>
            </w:pPr>
          </w:p>
        </w:tc>
        <w:tc>
          <w:tcPr>
            <w:tcW w:w="80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80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80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82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0" w:type="dxa"/>
            <w:vAlign w:val="bottom"/>
          </w:tcPr>
          <w:p>
            <w:pPr>
              <w:spacing w:after="0"/>
              <w:rPr>
                <w:sz w:val="1"/>
                <w:szCs w:val="1"/>
                <w:color w:val="auto"/>
              </w:rPr>
            </w:pPr>
          </w:p>
        </w:tc>
      </w:tr>
      <w:tr>
        <w:trPr>
          <w:trHeight w:val="193"/>
        </w:trPr>
        <w:tc>
          <w:tcPr>
            <w:tcW w:w="2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expense</w:t>
            </w:r>
          </w:p>
        </w:tc>
        <w:tc>
          <w:tcPr>
            <w:tcW w:w="24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 xml:space="preserve">Other, net </w:t>
            </w:r>
            <w:r>
              <w:rPr>
                <w:rFonts w:ascii="Times New Roman" w:cs="Times New Roman" w:eastAsia="Times New Roman" w:hAnsi="Times New Roman"/>
                <w:sz w:val="18"/>
                <w:szCs w:val="18"/>
                <w:color w:val="auto"/>
                <w:vertAlign w:val="superscript"/>
              </w:rPr>
              <w:t>(3)</w:t>
            </w:r>
          </w:p>
        </w:tc>
        <w:tc>
          <w:tcPr>
            <w:tcW w:w="24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0" w:type="dxa"/>
            <w:vAlign w:val="bottom"/>
          </w:tcPr>
          <w:p>
            <w:pPr>
              <w:spacing w:after="0"/>
              <w:rPr>
                <w:sz w:val="1"/>
                <w:szCs w:val="1"/>
                <w:color w:val="auto"/>
              </w:rPr>
            </w:pPr>
          </w:p>
        </w:tc>
      </w:tr>
      <w:tr>
        <w:trPr>
          <w:trHeight w:val="186"/>
        </w:trPr>
        <w:tc>
          <w:tcPr>
            <w:tcW w:w="2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9,620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28,398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25,490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3"/>
        </w:trPr>
        <w:tc>
          <w:tcPr>
            <w:tcW w:w="246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40" w:type="dxa"/>
            <w:vAlign w:val="bottom"/>
            <w:tcBorders>
              <w:bottom w:val="single" w:sz="8" w:color="DDDDDD"/>
            </w:tcBorders>
          </w:tcPr>
          <w:p>
            <w:pPr>
              <w:spacing w:after="0"/>
              <w:rPr>
                <w:sz w:val="2"/>
                <w:szCs w:val="2"/>
                <w:color w:val="auto"/>
              </w:rPr>
            </w:pPr>
          </w:p>
        </w:tc>
        <w:tc>
          <w:tcPr>
            <w:tcW w:w="70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DDDDDD"/>
            </w:tcBorders>
          </w:tcPr>
          <w:p>
            <w:pPr>
              <w:spacing w:after="0"/>
              <w:rPr>
                <w:sz w:val="2"/>
                <w:szCs w:val="2"/>
                <w:color w:val="auto"/>
              </w:rPr>
            </w:pPr>
          </w:p>
        </w:tc>
        <w:tc>
          <w:tcPr>
            <w:tcW w:w="340" w:type="dxa"/>
            <w:vAlign w:val="bottom"/>
            <w:tcBorders>
              <w:bottom w:val="single" w:sz="8" w:color="DDDDDD"/>
            </w:tcBorders>
          </w:tcPr>
          <w:p>
            <w:pPr>
              <w:spacing w:after="0"/>
              <w:rPr>
                <w:sz w:val="2"/>
                <w:szCs w:val="2"/>
                <w:color w:val="auto"/>
              </w:rPr>
            </w:pPr>
          </w:p>
        </w:tc>
        <w:tc>
          <w:tcPr>
            <w:tcW w:w="6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Lease revenues</w:t>
            </w:r>
          </w:p>
        </w:tc>
        <w:tc>
          <w:tcPr>
            <w:tcW w:w="24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80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82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6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17"/>
        </w:trPr>
        <w:tc>
          <w:tcPr>
            <w:tcW w:w="2460" w:type="dxa"/>
            <w:vAlign w:val="bottom"/>
            <w:tcBorders>
              <w:bottom w:val="single" w:sz="8" w:color="DDDDDD"/>
            </w:tcBorders>
          </w:tcPr>
          <w:p>
            <w:pPr>
              <w:ind w:left="480"/>
              <w:spacing w:after="0"/>
              <w:rPr>
                <w:sz w:val="20"/>
                <w:szCs w:val="20"/>
                <w:color w:val="auto"/>
              </w:rPr>
            </w:pPr>
            <w:r>
              <w:rPr>
                <w:rFonts w:ascii="Times New Roman" w:cs="Times New Roman" w:eastAsia="Times New Roman" w:hAnsi="Times New Roman"/>
                <w:sz w:val="14"/>
                <w:szCs w:val="14"/>
                <w:color w:val="auto"/>
              </w:rPr>
              <w:t>Core Adjusted EBITDA</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9,620</w:t>
            </w:r>
          </w:p>
        </w:tc>
        <w:tc>
          <w:tcPr>
            <w:tcW w:w="100" w:type="dxa"/>
            <w:vAlign w:val="bottom"/>
            <w:tcBorders>
              <w:bottom w:val="single" w:sz="8" w:color="DDDDDD"/>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8,680</w:t>
            </w:r>
          </w:p>
        </w:tc>
        <w:tc>
          <w:tcPr>
            <w:tcW w:w="12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tcBorders>
              <w:bottom w:val="single" w:sz="8" w:color="DDDDDD"/>
            </w:tcBorders>
          </w:tcPr>
          <w:p>
            <w:pPr>
              <w:spacing w:after="0"/>
              <w:rPr>
                <w:sz w:val="18"/>
                <w:szCs w:val="18"/>
                <w:color w:val="auto"/>
              </w:rPr>
            </w:pPr>
          </w:p>
        </w:tc>
        <w:tc>
          <w:tcPr>
            <w:tcW w:w="340" w:type="dxa"/>
            <w:vAlign w:val="bottom"/>
            <w:tcBorders>
              <w:bottom w:val="single" w:sz="8" w:color="DDDDDD"/>
            </w:tcBorders>
          </w:tcPr>
          <w:p>
            <w:pPr>
              <w:spacing w:after="0"/>
              <w:rPr>
                <w:sz w:val="18"/>
                <w:szCs w:val="18"/>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28,397</w:t>
            </w:r>
          </w:p>
        </w:tc>
        <w:tc>
          <w:tcPr>
            <w:tcW w:w="100" w:type="dxa"/>
            <w:vAlign w:val="bottom"/>
            <w:tcBorders>
              <w:bottom w:val="single" w:sz="8" w:color="DDDDDD"/>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25,479</w:t>
            </w:r>
          </w:p>
        </w:tc>
        <w:tc>
          <w:tcPr>
            <w:tcW w:w="100" w:type="dxa"/>
            <w:vAlign w:val="bottom"/>
            <w:tcBorders>
              <w:bottom w:val="single" w:sz="8" w:color="DDDDDD"/>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120" w:type="dxa"/>
            <w:vAlign w:val="bottom"/>
            <w:tcBorders>
              <w:bottom w:val="single" w:sz="8" w:color="DDDDDD"/>
            </w:tcBorders>
          </w:tcPr>
          <w:p>
            <w:pPr>
              <w:spacing w:after="0"/>
              <w:rPr>
                <w:sz w:val="18"/>
                <w:szCs w:val="18"/>
                <w:color w:val="auto"/>
              </w:rPr>
            </w:pPr>
          </w:p>
        </w:tc>
        <w:tc>
          <w:tcPr>
            <w:tcW w:w="340" w:type="dxa"/>
            <w:vAlign w:val="bottom"/>
            <w:tcBorders>
              <w:bottom w:val="single" w:sz="8" w:color="DDDDDD"/>
            </w:tcBorders>
          </w:tcPr>
          <w:p>
            <w:pPr>
              <w:spacing w:after="0"/>
              <w:rPr>
                <w:sz w:val="18"/>
                <w:szCs w:val="18"/>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39"/>
        </w:trPr>
        <w:tc>
          <w:tcPr>
            <w:tcW w:w="2460" w:type="dxa"/>
            <w:vAlign w:val="bottom"/>
            <w:shd w:val="clear" w:color="auto" w:fill="DDDDDD"/>
          </w:tcPr>
          <w:p>
            <w:pPr>
              <w:ind w:left="480"/>
              <w:spacing w:after="0" w:line="139" w:lineRule="exact"/>
              <w:rPr>
                <w:sz w:val="20"/>
                <w:szCs w:val="20"/>
                <w:color w:val="auto"/>
              </w:rPr>
            </w:pPr>
            <w:r>
              <w:rPr>
                <w:rFonts w:ascii="Times New Roman" w:cs="Times New Roman" w:eastAsia="Times New Roman" w:hAnsi="Times New Roman"/>
                <w:sz w:val="14"/>
                <w:szCs w:val="14"/>
                <w:color w:val="auto"/>
              </w:rPr>
              <w:t>Net income margin (Net income</w:t>
            </w:r>
          </w:p>
        </w:tc>
        <w:tc>
          <w:tcPr>
            <w:tcW w:w="24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DDDDDD"/>
          </w:tcPr>
          <w:p>
            <w:pPr>
              <w:spacing w:after="0"/>
              <w:rPr>
                <w:sz w:val="12"/>
                <w:szCs w:val="12"/>
                <w:color w:val="auto"/>
              </w:rPr>
            </w:pPr>
          </w:p>
        </w:tc>
        <w:tc>
          <w:tcPr>
            <w:tcW w:w="22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66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300 bps</w:t>
            </w:r>
          </w:p>
        </w:tc>
        <w:tc>
          <w:tcPr>
            <w:tcW w:w="10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66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 bps</w:t>
            </w:r>
          </w:p>
        </w:tc>
        <w:tc>
          <w:tcPr>
            <w:tcW w:w="0" w:type="dxa"/>
            <w:vAlign w:val="bottom"/>
          </w:tcPr>
          <w:p>
            <w:pPr>
              <w:spacing w:after="0"/>
              <w:rPr>
                <w:sz w:val="1"/>
                <w:szCs w:val="1"/>
                <w:color w:val="auto"/>
              </w:rPr>
            </w:pPr>
          </w:p>
        </w:tc>
      </w:tr>
      <w:tr>
        <w:trPr>
          <w:trHeight w:val="198"/>
        </w:trPr>
        <w:tc>
          <w:tcPr>
            <w:tcW w:w="2460" w:type="dxa"/>
            <w:vAlign w:val="bottom"/>
            <w:shd w:val="clear" w:color="auto" w:fill="DDDDDD"/>
          </w:tcPr>
          <w:p>
            <w:pPr>
              <w:ind w:left="480"/>
              <w:spacing w:after="0"/>
              <w:rPr>
                <w:sz w:val="20"/>
                <w:szCs w:val="20"/>
                <w:color w:val="auto"/>
              </w:rPr>
            </w:pPr>
            <w:r>
              <w:rPr>
                <w:rFonts w:ascii="Times New Roman" w:cs="Times New Roman" w:eastAsia="Times New Roman" w:hAnsi="Times New Roman"/>
                <w:sz w:val="14"/>
                <w:szCs w:val="14"/>
                <w:color w:val="auto"/>
              </w:rPr>
              <w:t>divided by Service revenues)</w:t>
            </w:r>
          </w:p>
        </w:tc>
        <w:tc>
          <w:tcPr>
            <w:tcW w:w="240" w:type="dxa"/>
            <w:vAlign w:val="bottom"/>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7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68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480"/>
              <w:spacing w:after="0" w:line="153" w:lineRule="exact"/>
              <w:rPr>
                <w:sz w:val="20"/>
                <w:szCs w:val="20"/>
                <w:color w:val="auto"/>
              </w:rPr>
            </w:pPr>
            <w:r>
              <w:rPr>
                <w:rFonts w:ascii="Times New Roman" w:cs="Times New Roman" w:eastAsia="Times New Roman" w:hAnsi="Times New Roman"/>
                <w:sz w:val="14"/>
                <w:szCs w:val="14"/>
                <w:color w:val="auto"/>
              </w:rPr>
              <w:t>Adjusted EBITDA margin</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480"/>
              <w:spacing w:after="0" w:line="145" w:lineRule="exact"/>
              <w:rPr>
                <w:sz w:val="20"/>
                <w:szCs w:val="20"/>
                <w:color w:val="auto"/>
              </w:rPr>
            </w:pPr>
            <w:r>
              <w:rPr>
                <w:rFonts w:ascii="Times New Roman" w:cs="Times New Roman" w:eastAsia="Times New Roman" w:hAnsi="Times New Roman"/>
                <w:sz w:val="14"/>
                <w:szCs w:val="14"/>
                <w:color w:val="auto"/>
              </w:rPr>
              <w:t>(Adjusted EBITDA divided by</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 bps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 bps</w:t>
            </w:r>
          </w:p>
        </w:tc>
        <w:tc>
          <w:tcPr>
            <w:tcW w:w="0" w:type="dxa"/>
            <w:vAlign w:val="bottom"/>
          </w:tcPr>
          <w:p>
            <w:pPr>
              <w:spacing w:after="0"/>
              <w:rPr>
                <w:sz w:val="1"/>
                <w:szCs w:val="1"/>
                <w:color w:val="auto"/>
              </w:rPr>
            </w:pPr>
          </w:p>
        </w:tc>
      </w:tr>
      <w:tr>
        <w:trPr>
          <w:trHeight w:val="195"/>
        </w:trPr>
        <w:tc>
          <w:tcPr>
            <w:tcW w:w="24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Service revenues)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60" w:type="dxa"/>
            <w:vAlign w:val="bottom"/>
            <w:shd w:val="clear" w:color="auto" w:fill="DDDDDD"/>
          </w:tcPr>
          <w:p>
            <w:pPr>
              <w:ind w:left="480"/>
              <w:spacing w:after="0" w:line="160" w:lineRule="exact"/>
              <w:rPr>
                <w:sz w:val="20"/>
                <w:szCs w:val="20"/>
                <w:color w:val="auto"/>
              </w:rPr>
            </w:pPr>
            <w:r>
              <w:rPr>
                <w:rFonts w:ascii="Times New Roman" w:cs="Times New Roman" w:eastAsia="Times New Roman" w:hAnsi="Times New Roman"/>
                <w:sz w:val="14"/>
                <w:szCs w:val="14"/>
                <w:color w:val="auto"/>
              </w:rPr>
              <w:t>Core Adjusted EBITDA margin</w:t>
            </w:r>
          </w:p>
        </w:tc>
        <w:tc>
          <w:tcPr>
            <w:tcW w:w="24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66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7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66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DDDDDD"/>
          </w:tcPr>
          <w:p>
            <w:pPr>
              <w:ind w:left="480"/>
              <w:spacing w:after="0" w:line="145" w:lineRule="exact"/>
              <w:rPr>
                <w:sz w:val="20"/>
                <w:szCs w:val="20"/>
                <w:color w:val="auto"/>
              </w:rPr>
            </w:pPr>
            <w:r>
              <w:rPr>
                <w:rFonts w:ascii="Times New Roman" w:cs="Times New Roman" w:eastAsia="Times New Roman" w:hAnsi="Times New Roman"/>
                <w:sz w:val="14"/>
                <w:szCs w:val="14"/>
                <w:color w:val="auto"/>
              </w:rPr>
              <w:t>(Core Adjusted EBITDA divided</w:t>
            </w:r>
          </w:p>
        </w:tc>
        <w:tc>
          <w:tcPr>
            <w:tcW w:w="24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DDDDDD"/>
          </w:tcPr>
          <w:p>
            <w:pPr>
              <w:spacing w:after="0"/>
              <w:rPr>
                <w:sz w:val="12"/>
                <w:szCs w:val="12"/>
                <w:color w:val="auto"/>
              </w:rPr>
            </w:pPr>
          </w:p>
        </w:tc>
        <w:tc>
          <w:tcPr>
            <w:tcW w:w="22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66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200 bps</w:t>
            </w:r>
          </w:p>
        </w:tc>
        <w:tc>
          <w:tcPr>
            <w:tcW w:w="10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66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200 bps</w:t>
            </w:r>
          </w:p>
        </w:tc>
        <w:tc>
          <w:tcPr>
            <w:tcW w:w="0" w:type="dxa"/>
            <w:vAlign w:val="bottom"/>
          </w:tcPr>
          <w:p>
            <w:pPr>
              <w:spacing w:after="0"/>
              <w:rPr>
                <w:sz w:val="1"/>
                <w:szCs w:val="1"/>
                <w:color w:val="auto"/>
              </w:rPr>
            </w:pPr>
          </w:p>
        </w:tc>
      </w:tr>
      <w:tr>
        <w:trPr>
          <w:trHeight w:val="202"/>
        </w:trPr>
        <w:tc>
          <w:tcPr>
            <w:tcW w:w="2460" w:type="dxa"/>
            <w:vAlign w:val="bottom"/>
            <w:shd w:val="clear" w:color="auto" w:fill="DDDDDD"/>
          </w:tcPr>
          <w:p>
            <w:pPr>
              <w:ind w:left="480"/>
              <w:spacing w:after="0"/>
              <w:rPr>
                <w:sz w:val="20"/>
                <w:szCs w:val="20"/>
                <w:color w:val="auto"/>
              </w:rPr>
            </w:pPr>
            <w:r>
              <w:rPr>
                <w:rFonts w:ascii="Times New Roman" w:cs="Times New Roman" w:eastAsia="Times New Roman" w:hAnsi="Times New Roman"/>
                <w:sz w:val="14"/>
                <w:szCs w:val="14"/>
                <w:color w:val="auto"/>
              </w:rPr>
              <w:t>by Service revenues)</w:t>
            </w:r>
          </w:p>
        </w:tc>
        <w:tc>
          <w:tcPr>
            <w:tcW w:w="240" w:type="dxa"/>
            <w:vAlign w:val="bottom"/>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7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68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-3248025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5"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includes payroll tax impacts and may not agree with stock-based compensation expense on the condensed consolidated financial statements.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Legal-related expenses, net, consists of the settlement of certain litigation and compliance costs associated with the August 2021 cyberattack, net of insurance recoveries.</w:t>
      </w:r>
    </w:p>
    <w:p>
      <w:pPr>
        <w:spacing w:after="0" w:line="68" w:lineRule="exact"/>
        <w:rPr>
          <w:rFonts w:ascii="Times New Roman" w:cs="Times New Roman" w:eastAsia="Times New Roman" w:hAnsi="Times New Roman"/>
          <w:sz w:val="14"/>
          <w:szCs w:val="14"/>
          <w:color w:val="auto"/>
        </w:rPr>
      </w:pPr>
    </w:p>
    <w:p>
      <w:pPr>
        <w:ind w:left="340" w:hanging="332"/>
        <w:spacing w:after="0" w:line="275"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net, primarily consists of certain severance, restructuring and other expenses, gains and losses, not directly attributable to the UScellular Acquisition, which are not reflective of T-Mobile’s ongoing core business activities and are, therefore, excluded from Adjusted EBITDA and Core Adjusted EBITDA. Other, net, for the nine months ended September 30, 2026, includes $141 million of severance and related costs associated with the 2025-2026 Workforce Transformation and $50 million and $158 million of costs associated with our retail initiatives for the three and nine months ended September 30, 2026, respectively.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Core Adjusted EBITDA increased $940 million, or 11%, for the three months ended and increased $2.9 billion, or 11%, for the nine months ended September 30, 2026. The components of Core Adjusted EBITDA are discussed further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Total service revenues;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Equipment revenues, excluding Lease revenues;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equipment sales, excluding Special Items;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services, excluding Special Items.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Total service revenues;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Equipment revenues, excluding Lease revenues;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equipment sales, excluding Special Items;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 of services, excluding Special Items;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Selling, general and administrative expenses, excluding Special Items.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Adjusted EBITDA increased $936 million, or 11%, for the three months ended September 30, 2026, and increased $2.9 billion, or 11%, for the nine months ended September 30, 2026, due to the fluctuations in Core Adjusted EBITDA discussed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cash generated from operations, proceeds from issuance of debt, financing leases, the sale of certain receivables, the Revolving Credit Facility (as defined below) and an unsecured short-term commercial paper program. Further, the incurrence of additional indebtedness may inhibit our ability to incur new debt in the future to finance our business strategy under the terms governing our existing and future indebtedness.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condensed schedule of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820" w:type="dxa"/>
            <w:vAlign w:val="bottom"/>
            <w:gridSpan w:val="4"/>
            <w:shd w:val="clear" w:color="auto" w:fill="E20074"/>
          </w:tcPr>
          <w:p>
            <w:pPr>
              <w:ind w:left="140"/>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00" w:type="dxa"/>
            <w:vAlign w:val="bottom"/>
          </w:tcPr>
          <w:p>
            <w:pPr>
              <w:spacing w:after="0"/>
              <w:rPr>
                <w:sz w:val="14"/>
                <w:szCs w:val="14"/>
                <w:color w:val="auto"/>
              </w:rPr>
            </w:pPr>
          </w:p>
        </w:tc>
        <w:tc>
          <w:tcPr>
            <w:tcW w:w="260" w:type="dxa"/>
            <w:vAlign w:val="bottom"/>
            <w:shd w:val="clear" w:color="auto" w:fill="E20074"/>
          </w:tcPr>
          <w:p>
            <w:pPr>
              <w:spacing w:after="0"/>
              <w:rPr>
                <w:sz w:val="14"/>
                <w:szCs w:val="14"/>
                <w:color w:val="auto"/>
              </w:rPr>
            </w:pPr>
          </w:p>
        </w:tc>
        <w:tc>
          <w:tcPr>
            <w:tcW w:w="1160" w:type="dxa"/>
            <w:vAlign w:val="bottom"/>
            <w:gridSpan w:val="3"/>
            <w:vMerge w:val="restart"/>
            <w:shd w:val="clear" w:color="auto" w:fill="E20074"/>
          </w:tcPr>
          <w:p>
            <w:pPr>
              <w:ind w:left="58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shd w:val="clear" w:color="auto" w:fill="E20074"/>
          </w:tcPr>
          <w:p>
            <w:pPr>
              <w:spacing w:after="0"/>
              <w:rPr>
                <w:sz w:val="14"/>
                <w:szCs w:val="14"/>
                <w:color w:val="auto"/>
              </w:rPr>
            </w:pPr>
          </w:p>
        </w:tc>
        <w:tc>
          <w:tcPr>
            <w:tcW w:w="1820" w:type="dxa"/>
            <w:vAlign w:val="bottom"/>
            <w:gridSpan w:val="4"/>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00" w:type="dxa"/>
            <w:vAlign w:val="bottom"/>
          </w:tcPr>
          <w:p>
            <w:pPr>
              <w:spacing w:after="0"/>
              <w:rPr>
                <w:sz w:val="14"/>
                <w:szCs w:val="14"/>
                <w:color w:val="auto"/>
              </w:rPr>
            </w:pPr>
          </w:p>
        </w:tc>
        <w:tc>
          <w:tcPr>
            <w:tcW w:w="280" w:type="dxa"/>
            <w:vAlign w:val="bottom"/>
            <w:shd w:val="clear" w:color="auto" w:fill="E20074"/>
          </w:tcPr>
          <w:p>
            <w:pPr>
              <w:spacing w:after="0"/>
              <w:rPr>
                <w:sz w:val="14"/>
                <w:szCs w:val="14"/>
                <w:color w:val="auto"/>
              </w:rPr>
            </w:pPr>
          </w:p>
        </w:tc>
        <w:tc>
          <w:tcPr>
            <w:tcW w:w="1140" w:type="dxa"/>
            <w:vAlign w:val="bottom"/>
            <w:gridSpan w:val="3"/>
            <w:vMerge w:val="restart"/>
            <w:shd w:val="clear" w:color="auto" w:fill="E20074"/>
          </w:tcPr>
          <w:p>
            <w:pPr>
              <w:ind w:left="56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720" w:type="dxa"/>
            <w:vAlign w:val="bottom"/>
            <w:shd w:val="clear" w:color="auto" w:fill="E20074"/>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820" w:type="dxa"/>
            <w:vAlign w:val="bottom"/>
            <w:gridSpan w:val="4"/>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6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shd w:val="clear" w:color="auto" w:fill="E20074"/>
          </w:tcPr>
          <w:p>
            <w:pPr>
              <w:spacing w:after="0"/>
              <w:rPr>
                <w:sz w:val="17"/>
                <w:szCs w:val="17"/>
                <w:color w:val="auto"/>
              </w:rPr>
            </w:pPr>
          </w:p>
        </w:tc>
        <w:tc>
          <w:tcPr>
            <w:tcW w:w="1820" w:type="dxa"/>
            <w:vAlign w:val="bottom"/>
            <w:gridSpan w:val="4"/>
            <w:shd w:val="clear" w:color="auto" w:fill="E20074"/>
          </w:tcPr>
          <w:p>
            <w:pPr>
              <w:jc w:val="right"/>
              <w:ind w:right="5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7"/>
                <w:szCs w:val="17"/>
                <w:color w:val="auto"/>
              </w:rPr>
            </w:pPr>
          </w:p>
        </w:tc>
        <w:tc>
          <w:tcPr>
            <w:tcW w:w="280" w:type="dxa"/>
            <w:vAlign w:val="bottom"/>
            <w:shd w:val="clear" w:color="auto" w:fill="E20074"/>
          </w:tcPr>
          <w:p>
            <w:pPr>
              <w:spacing w:after="0"/>
              <w:rPr>
                <w:sz w:val="17"/>
                <w:szCs w:val="17"/>
                <w:color w:val="auto"/>
              </w:rPr>
            </w:pPr>
          </w:p>
        </w:tc>
        <w:tc>
          <w:tcPr>
            <w:tcW w:w="1140" w:type="dxa"/>
            <w:vAlign w:val="bottom"/>
            <w:gridSpan w:val="3"/>
            <w:vMerge w:val="continue"/>
            <w:shd w:val="clear" w:color="auto" w:fill="E20074"/>
          </w:tcPr>
          <w:p>
            <w:pPr>
              <w:spacing w:after="0"/>
              <w:rPr>
                <w:sz w:val="17"/>
                <w:szCs w:val="17"/>
                <w:color w:val="auto"/>
              </w:rPr>
            </w:pPr>
          </w:p>
        </w:tc>
        <w:tc>
          <w:tcPr>
            <w:tcW w:w="72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ind w:left="120"/>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2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76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70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6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120" w:type="dxa"/>
            <w:vAlign w:val="bottom"/>
          </w:tcPr>
          <w:p>
            <w:pPr>
              <w:spacing w:after="0"/>
              <w:rPr>
                <w:sz w:val="18"/>
                <w:szCs w:val="18"/>
                <w:color w:val="auto"/>
              </w:rPr>
            </w:pPr>
          </w:p>
        </w:tc>
        <w:tc>
          <w:tcPr>
            <w:tcW w:w="200" w:type="dxa"/>
            <w:vAlign w:val="bottom"/>
            <w:tcBorders>
              <w:bottom w:val="single" w:sz="8" w:color="E20074"/>
            </w:tcBorders>
            <w:shd w:val="clear" w:color="auto" w:fill="E20074"/>
          </w:tcPr>
          <w:p>
            <w:pPr>
              <w:spacing w:after="0"/>
              <w:rPr>
                <w:sz w:val="18"/>
                <w:szCs w:val="18"/>
                <w:color w:val="auto"/>
              </w:rPr>
            </w:pPr>
          </w:p>
        </w:tc>
        <w:tc>
          <w:tcPr>
            <w:tcW w:w="76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20" w:type="dxa"/>
            <w:vAlign w:val="bottom"/>
            <w:tcBorders>
              <w:bottom w:val="single" w:sz="8" w:color="E20074"/>
            </w:tcBorders>
            <w:shd w:val="clear" w:color="auto" w:fill="E20074"/>
          </w:tcPr>
          <w:p>
            <w:pPr>
              <w:spacing w:after="0"/>
              <w:rPr>
                <w:sz w:val="18"/>
                <w:szCs w:val="18"/>
                <w:color w:val="auto"/>
              </w:rPr>
            </w:pPr>
          </w:p>
        </w:tc>
        <w:tc>
          <w:tcPr>
            <w:tcW w:w="740" w:type="dxa"/>
            <w:vAlign w:val="bottom"/>
            <w:tcBorders>
              <w:bottom w:val="single" w:sz="8" w:color="E20074"/>
            </w:tcBorders>
            <w:shd w:val="clear" w:color="auto" w:fill="E20074"/>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8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2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720" w:type="dxa"/>
            <w:vAlign w:val="bottom"/>
            <w:tcBorders>
              <w:bottom w:val="single" w:sz="8" w:color="E20074"/>
            </w:tcBorders>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7,341</w:t>
            </w:r>
          </w:p>
        </w:tc>
        <w:tc>
          <w:tcPr>
            <w:tcW w:w="320" w:type="dxa"/>
            <w:vAlign w:val="bottom"/>
            <w:tcBorders>
              <w:bottom w:val="single" w:sz="8" w:color="DBDBDB"/>
            </w:tcBorders>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7,457</w:t>
            </w:r>
          </w:p>
        </w:tc>
        <w:tc>
          <w:tcPr>
            <w:tcW w:w="36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gridSpan w:val="3"/>
            <w:shd w:val="clear" w:color="auto" w:fill="DBDBDB"/>
          </w:tcPr>
          <w:p>
            <w:pPr>
              <w:jc w:val="right"/>
              <w:ind w:right="120"/>
              <w:spacing w:after="0"/>
              <w:rPr>
                <w:sz w:val="20"/>
                <w:szCs w:val="20"/>
                <w:color w:val="auto"/>
              </w:rPr>
            </w:pPr>
            <w:r>
              <w:rPr>
                <w:rFonts w:ascii="Times New Roman" w:cs="Times New Roman" w:eastAsia="Times New Roman" w:hAnsi="Times New Roman"/>
                <w:sz w:val="14"/>
                <w:szCs w:val="14"/>
                <w:color w:val="auto"/>
              </w:rPr>
              <w:t>(2)%  $</w:t>
            </w:r>
          </w:p>
        </w:tc>
        <w:tc>
          <w:tcPr>
            <w:tcW w:w="760" w:type="dxa"/>
            <w:vAlign w:val="bottom"/>
            <w:tcBorders>
              <w:bottom w:val="single" w:sz="8" w:color="DBDBDB"/>
            </w:tcBorders>
            <w:shd w:val="clear" w:color="auto" w:fill="DBDBDB"/>
          </w:tcPr>
          <w:p>
            <w:pPr>
              <w:jc w:val="right"/>
              <w:ind w:right="8"/>
              <w:spacing w:after="0"/>
              <w:rPr>
                <w:sz w:val="20"/>
                <w:szCs w:val="20"/>
                <w:color w:val="auto"/>
              </w:rPr>
            </w:pPr>
            <w:r>
              <w:rPr>
                <w:rFonts w:ascii="Times New Roman" w:cs="Times New Roman" w:eastAsia="Times New Roman" w:hAnsi="Times New Roman"/>
                <w:sz w:val="14"/>
                <w:szCs w:val="14"/>
                <w:color w:val="auto"/>
              </w:rPr>
              <w:t>22,063</w:t>
            </w:r>
          </w:p>
        </w:tc>
        <w:tc>
          <w:tcPr>
            <w:tcW w:w="320" w:type="dxa"/>
            <w:vAlign w:val="bottom"/>
            <w:tcBorders>
              <w:bottom w:val="single" w:sz="8" w:color="DBDBDB"/>
            </w:tcBorders>
            <w:gridSpan w:val="2"/>
            <w:shd w:val="clear" w:color="auto" w:fill="DBDBDB"/>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21,296</w:t>
            </w:r>
          </w:p>
        </w:tc>
        <w:tc>
          <w:tcPr>
            <w:tcW w:w="38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53"/>
        </w:trPr>
        <w:tc>
          <w:tcPr>
            <w:tcW w:w="28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Net cash provided by (used in) investing</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10,497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(15,107)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9,564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3"/>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activities</w:t>
            </w: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00" w:type="dxa"/>
            <w:vAlign w:val="bottom"/>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(16,470)</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(8,220)</w:t>
            </w:r>
          </w:p>
        </w:tc>
        <w:tc>
          <w:tcPr>
            <w:tcW w:w="1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3"/>
        </w:trPr>
        <w:tc>
          <w:tcPr>
            <w:tcW w:w="26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7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68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$116 million, or 2%, for the three months ended and increased $767 million, or 4%, for the nine months ended September 30,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for the three months ended September 30, 2026, was primarily from:</w:t>
      </w:r>
    </w:p>
    <w:p>
      <w:pPr>
        <w:spacing w:after="0" w:line="252" w:lineRule="exact"/>
        <w:rPr>
          <w:sz w:val="20"/>
          <w:szCs w:val="20"/>
          <w:color w:val="auto"/>
        </w:rPr>
      </w:pPr>
    </w:p>
    <w:p>
      <w:pPr>
        <w:ind w:left="660" w:right="1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$592 million increase in net cash outflows from changes in working capital, primarily due to higher use of cash from Accounts payable and accrued liabilities and Inventory, partially offset by lower use of cash from Other current and long-term liabilities, Accounts receivable and Other current and long-term assets; partially offset by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$476 million increase in Net income, adjusted for non-cash income and expenses.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includes the impact of $198 million and $96 million in net payments for Merger-related costs for the three months ended September 30, 2026 and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billion increase in Net income, adjusted for non-cash income and expenses; partially offset by</w:t>
      </w:r>
    </w:p>
    <w:p>
      <w:pPr>
        <w:spacing w:after="0" w:line="63"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$681 million increase in net cash outflows from changes in working capital, primarily due to higher use of cash from Accounts payable and accrued liabilities and Short- and long-term operating lease liabilities, partially offset by lower use of cash from Other current and long-term liabilities, Other current and long-term assets and Operating lease right-of-use assets.</w:t>
      </w:r>
    </w:p>
    <w:p>
      <w:pPr>
        <w:spacing w:after="0" w:line="1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includes the impact of $532 million and $258 million in net payments for Merger-related costs for the nine months ended September 30, 2026 and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increased $10.5 billion from a net use of cash for the three months ended September 30, 2025, to a net source of cash for the three months ended September 30, 2026. Net cash used in investing activities decreased $9.6 billion, or 63%, for the nine months ended September 30, 2026.</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source of cash for the three months ended September 30, 2026, was primarily from:</w:t>
      </w:r>
    </w:p>
    <w:p>
      <w:pPr>
        <w:spacing w:after="0" w:line="252" w:lineRule="exact"/>
        <w:rPr>
          <w:sz w:val="20"/>
          <w:szCs w:val="20"/>
          <w:color w:val="auto"/>
        </w:rPr>
      </w:pPr>
    </w:p>
    <w:p>
      <w:pPr>
        <w:ind w:left="660" w:right="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$2.9 billion in Proceeds from the sale of property, equipment and intangible assets, primarily from the cash consideration related to the sale of our 800 MHz spectrum licenses to Grain (see </w:t>
      </w:r>
      <w:r>
        <w:rPr>
          <w:rFonts w:ascii="Times New Roman" w:cs="Times New Roman" w:eastAsia="Times New Roman" w:hAnsi="Times New Roman"/>
          <w:sz w:val="18"/>
          <w:szCs w:val="18"/>
          <w:u w:val="single" w:color="auto"/>
          <w:color w:val="0000FF"/>
        </w:rPr>
        <w:t>Note 6 – Spectrum License Transactions</w:t>
      </w:r>
      <w:r>
        <w:rPr>
          <w:rFonts w:ascii="Times New Roman" w:cs="Times New Roman" w:eastAsia="Times New Roman" w:hAnsi="Times New Roman"/>
          <w:sz w:val="18"/>
          <w:szCs w:val="18"/>
          <w:color w:val="auto"/>
        </w:rPr>
        <w:t xml:space="preserve"> of the Notes to the Condensed Consolidated Financial Statements); partially offset by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billion in Purchases of property and equipment, including capitalized interest, for the continued build-out of our nationwide 5G network;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 million in Purchases of spectrum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use of cash for the nine months ended September 30, 2026, was primarily from:</w:t>
      </w:r>
    </w:p>
    <w:p>
      <w:pPr>
        <w:spacing w:after="0" w:line="252" w:lineRule="exact"/>
        <w:rPr>
          <w:sz w:val="20"/>
          <w:szCs w:val="20"/>
          <w:color w:val="auto"/>
        </w:rPr>
      </w:pPr>
    </w:p>
    <w:p>
      <w:pPr>
        <w:ind w:left="660" w:right="340" w:hanging="328"/>
        <w:spacing w:after="0" w:line="28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billion in Purchases of property and equipment, including capitalized interest, for the continued build-out of our nationwide 5G network, including for incremental capital expenditures following the UScellular Acquisition;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 million in Purchases of spectrum and intangible assets; partially offset by</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$3.0 billion in Proceeds from the sale of property, equipment and intangible assets, primarily from the cash consideration related to the sale of our 800 MHz spectrum licenses to Grain (see </w:t>
      </w:r>
      <w:r>
        <w:rPr>
          <w:rFonts w:ascii="Times New Roman" w:cs="Times New Roman" w:eastAsia="Times New Roman" w:hAnsi="Times New Roman"/>
          <w:sz w:val="18"/>
          <w:szCs w:val="18"/>
          <w:u w:val="single" w:color="auto"/>
          <w:color w:val="0000FF"/>
        </w:rPr>
        <w:t>Note 6 – Spectrum License Transactions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$610 million, or 14%, for the three months ended and increased $8.2 billion, or 100%, for the nine months ended September 30,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use of cash for the three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billion in Repurchases of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billion in Repayments of long-term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billion in Dividends on common stock;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 million in Repayments of financing lease obligations;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 million in Proceeds from issuance of long-term debt,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use of cash for the nine months ended September 30, 2026, was primarily from:</w:t>
      </w:r>
    </w:p>
    <w:p>
      <w:pPr>
        <w:spacing w:after="0" w:line="25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billion in Repurchases of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billion in Repayments of long-term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billion in Dividends on common stock;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$995 million in Repayments of financing lease obligations;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billion in Proceeds from issuance of long-term debt, net.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our Cash and cash equivalents were $5.6 billion.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Free Cash Flow represents Net cash provided by operating activities less cash payments for Purchases of property and equipment, including capitalized interest. Adjusted Free Cash Flow is a non-GAAP financial measure utilized by management, investors and analysts of our financial information to evaluate cash available to pay debt, repurchase shares, pay dividends and provide further investment in the business. Adjusted Free Cash Flow margin is calculated as Adjusted Free Cash Flow divided by Service revenues. Adjusted Free Cash Flow margin is utilized by management, investors and analysts to evaluate the Company’s ability to convert service revenue efficiently into cash available to pay debt, repurchase shares, pay dividends and provide further investment in the business.</w:t>
      </w:r>
    </w:p>
    <w:p>
      <w:pPr>
        <w:sectPr>
          <w:pgSz w:w="11900" w:h="16838" w:orient="portrait"/>
          <w:cols w:equalWidth="0" w:num="1">
            <w:col w:w="11180"/>
          </w:cols>
          <w:pgMar w:left="320" w:top="17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8"/>
          <w:szCs w:val="18"/>
          <w:color w:val="auto"/>
        </w:rPr>
        <w:t>The table below provides a reconciliation of Adjusted Free Cash Flow to Net cash provided by operating activities, which we consider to be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240" w:type="dxa"/>
            <w:vAlign w:val="bottom"/>
            <w:shd w:val="clear" w:color="auto" w:fill="E20074"/>
          </w:tcPr>
          <w:p>
            <w:pPr>
              <w:spacing w:after="0"/>
              <w:rPr>
                <w:sz w:val="15"/>
                <w:szCs w:val="15"/>
                <w:color w:val="auto"/>
              </w:rPr>
            </w:pPr>
          </w:p>
        </w:tc>
        <w:tc>
          <w:tcPr>
            <w:tcW w:w="1940" w:type="dxa"/>
            <w:vAlign w:val="bottom"/>
            <w:gridSpan w:val="4"/>
            <w:shd w:val="clear" w:color="auto" w:fill="E20074"/>
          </w:tcPr>
          <w:p>
            <w:pPr>
              <w:jc w:val="right"/>
              <w:ind w:right="388"/>
              <w:spacing w:after="0"/>
              <w:rPr>
                <w:sz w:val="20"/>
                <w:szCs w:val="20"/>
                <w:color w:val="auto"/>
              </w:rPr>
            </w:pPr>
            <w:r>
              <w:rPr>
                <w:rFonts w:ascii="Times New Roman" w:cs="Times New Roman" w:eastAsia="Times New Roman" w:hAnsi="Times New Roman"/>
                <w:sz w:val="14"/>
                <w:szCs w:val="14"/>
                <w:b w:val="1"/>
                <w:bCs w:val="1"/>
                <w:color w:val="FFFFFF"/>
              </w:rPr>
              <w:t>Three Months Ended</w:t>
            </w:r>
          </w:p>
        </w:tc>
        <w:tc>
          <w:tcPr>
            <w:tcW w:w="100" w:type="dxa"/>
            <w:vAlign w:val="bottom"/>
          </w:tcPr>
          <w:p>
            <w:pPr>
              <w:spacing w:after="0"/>
              <w:rPr>
                <w:sz w:val="15"/>
                <w:szCs w:val="15"/>
                <w:color w:val="auto"/>
              </w:rPr>
            </w:pPr>
          </w:p>
        </w:tc>
        <w:tc>
          <w:tcPr>
            <w:tcW w:w="260" w:type="dxa"/>
            <w:vAlign w:val="bottom"/>
            <w:shd w:val="clear" w:color="auto" w:fill="E20074"/>
          </w:tcPr>
          <w:p>
            <w:pPr>
              <w:spacing w:after="0"/>
              <w:rPr>
                <w:sz w:val="15"/>
                <w:szCs w:val="15"/>
                <w:color w:val="auto"/>
              </w:rPr>
            </w:pPr>
          </w:p>
        </w:tc>
        <w:tc>
          <w:tcPr>
            <w:tcW w:w="1100" w:type="dxa"/>
            <w:vAlign w:val="bottom"/>
            <w:gridSpan w:val="3"/>
            <w:vMerge w:val="restart"/>
            <w:shd w:val="clear" w:color="auto" w:fill="E20074"/>
          </w:tcPr>
          <w:p>
            <w:pPr>
              <w:ind w:left="54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680" w:type="dxa"/>
            <w:vAlign w:val="bottom"/>
            <w:shd w:val="clear" w:color="auto" w:fill="E20074"/>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shd w:val="clear" w:color="auto" w:fill="E20074"/>
          </w:tcPr>
          <w:p>
            <w:pPr>
              <w:spacing w:after="0"/>
              <w:rPr>
                <w:sz w:val="15"/>
                <w:szCs w:val="15"/>
                <w:color w:val="auto"/>
              </w:rPr>
            </w:pPr>
          </w:p>
        </w:tc>
        <w:tc>
          <w:tcPr>
            <w:tcW w:w="1980" w:type="dxa"/>
            <w:vAlign w:val="bottom"/>
            <w:gridSpan w:val="4"/>
            <w:shd w:val="clear" w:color="auto" w:fill="E20074"/>
          </w:tcPr>
          <w:p>
            <w:pPr>
              <w:jc w:val="right"/>
              <w:ind w:right="448"/>
              <w:spacing w:after="0"/>
              <w:rPr>
                <w:sz w:val="20"/>
                <w:szCs w:val="20"/>
                <w:color w:val="auto"/>
              </w:rPr>
            </w:pPr>
            <w:r>
              <w:rPr>
                <w:rFonts w:ascii="Times New Roman" w:cs="Times New Roman" w:eastAsia="Times New Roman" w:hAnsi="Times New Roman"/>
                <w:sz w:val="14"/>
                <w:szCs w:val="14"/>
                <w:b w:val="1"/>
                <w:bCs w:val="1"/>
                <w:color w:val="FFFFFF"/>
              </w:rPr>
              <w:t>Nine Months Ended</w:t>
            </w:r>
          </w:p>
        </w:tc>
        <w:tc>
          <w:tcPr>
            <w:tcW w:w="100" w:type="dxa"/>
            <w:vAlign w:val="bottom"/>
          </w:tcPr>
          <w:p>
            <w:pPr>
              <w:spacing w:after="0"/>
              <w:rPr>
                <w:sz w:val="15"/>
                <w:szCs w:val="15"/>
                <w:color w:val="auto"/>
              </w:rPr>
            </w:pPr>
          </w:p>
        </w:tc>
        <w:tc>
          <w:tcPr>
            <w:tcW w:w="260" w:type="dxa"/>
            <w:vAlign w:val="bottom"/>
            <w:shd w:val="clear" w:color="auto" w:fill="E20074"/>
          </w:tcPr>
          <w:p>
            <w:pPr>
              <w:spacing w:after="0"/>
              <w:rPr>
                <w:sz w:val="15"/>
                <w:szCs w:val="15"/>
                <w:color w:val="auto"/>
              </w:rPr>
            </w:pPr>
          </w:p>
        </w:tc>
        <w:tc>
          <w:tcPr>
            <w:tcW w:w="1100" w:type="dxa"/>
            <w:vAlign w:val="bottom"/>
            <w:gridSpan w:val="3"/>
            <w:vMerge w:val="restart"/>
            <w:shd w:val="clear" w:color="auto" w:fill="E20074"/>
          </w:tcPr>
          <w:p>
            <w:pPr>
              <w:ind w:left="520"/>
              <w:spacing w:after="0"/>
              <w:rPr>
                <w:sz w:val="20"/>
                <w:szCs w:val="20"/>
                <w:color w:val="auto"/>
              </w:rPr>
            </w:pPr>
            <w:r>
              <w:rPr>
                <w:rFonts w:ascii="Times New Roman" w:cs="Times New Roman" w:eastAsia="Times New Roman" w:hAnsi="Times New Roman"/>
                <w:sz w:val="14"/>
                <w:szCs w:val="14"/>
                <w:b w:val="1"/>
                <w:bCs w:val="1"/>
                <w:color w:val="FFFFFF"/>
              </w:rPr>
              <w:t>Change</w:t>
            </w:r>
          </w:p>
        </w:tc>
        <w:tc>
          <w:tcPr>
            <w:tcW w:w="680" w:type="dxa"/>
            <w:vAlign w:val="bottom"/>
            <w:shd w:val="clear" w:color="auto" w:fill="E20074"/>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1340" w:type="dxa"/>
            <w:vAlign w:val="bottom"/>
            <w:gridSpan w:val="3"/>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60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00" w:type="dxa"/>
            <w:vAlign w:val="bottom"/>
            <w:gridSpan w:val="3"/>
            <w:vMerge w:val="continue"/>
            <w:shd w:val="clear" w:color="auto" w:fill="E20074"/>
          </w:tcPr>
          <w:p>
            <w:pPr>
              <w:spacing w:after="0"/>
              <w:rPr>
                <w:sz w:val="17"/>
                <w:szCs w:val="17"/>
                <w:color w:val="auto"/>
              </w:rPr>
            </w:pPr>
          </w:p>
        </w:tc>
        <w:tc>
          <w:tcPr>
            <w:tcW w:w="68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shd w:val="clear" w:color="auto" w:fill="E20074"/>
          </w:tcPr>
          <w:p>
            <w:pPr>
              <w:spacing w:after="0"/>
              <w:rPr>
                <w:sz w:val="17"/>
                <w:szCs w:val="17"/>
                <w:color w:val="auto"/>
              </w:rPr>
            </w:pPr>
          </w:p>
        </w:tc>
        <w:tc>
          <w:tcPr>
            <w:tcW w:w="1980" w:type="dxa"/>
            <w:vAlign w:val="bottom"/>
            <w:gridSpan w:val="4"/>
            <w:shd w:val="clear" w:color="auto" w:fill="E20074"/>
          </w:tcPr>
          <w:p>
            <w:pPr>
              <w:jc w:val="right"/>
              <w:ind w:right="608"/>
              <w:spacing w:after="0"/>
              <w:rPr>
                <w:sz w:val="20"/>
                <w:szCs w:val="20"/>
                <w:color w:val="auto"/>
              </w:rPr>
            </w:pPr>
            <w:r>
              <w:rPr>
                <w:rFonts w:ascii="Times New Roman" w:cs="Times New Roman" w:eastAsia="Times New Roman" w:hAnsi="Times New Roman"/>
                <w:sz w:val="14"/>
                <w:szCs w:val="14"/>
                <w:b w:val="1"/>
                <w:bCs w:val="1"/>
                <w:color w:val="FFFFFF"/>
              </w:rPr>
              <w:t>September 30,</w:t>
            </w:r>
          </w:p>
        </w:tc>
        <w:tc>
          <w:tcPr>
            <w:tcW w:w="100" w:type="dxa"/>
            <w:vAlign w:val="bottom"/>
          </w:tcPr>
          <w:p>
            <w:pPr>
              <w:spacing w:after="0"/>
              <w:rPr>
                <w:sz w:val="17"/>
                <w:szCs w:val="17"/>
                <w:color w:val="auto"/>
              </w:rPr>
            </w:pPr>
          </w:p>
        </w:tc>
        <w:tc>
          <w:tcPr>
            <w:tcW w:w="260" w:type="dxa"/>
            <w:vAlign w:val="bottom"/>
            <w:shd w:val="clear" w:color="auto" w:fill="E20074"/>
          </w:tcPr>
          <w:p>
            <w:pPr>
              <w:spacing w:after="0"/>
              <w:rPr>
                <w:sz w:val="17"/>
                <w:szCs w:val="17"/>
                <w:color w:val="auto"/>
              </w:rPr>
            </w:pPr>
          </w:p>
        </w:tc>
        <w:tc>
          <w:tcPr>
            <w:tcW w:w="1100" w:type="dxa"/>
            <w:vAlign w:val="bottom"/>
            <w:gridSpan w:val="3"/>
            <w:vMerge w:val="continue"/>
            <w:shd w:val="clear" w:color="auto" w:fill="E20074"/>
          </w:tcPr>
          <w:p>
            <w:pPr>
              <w:spacing w:after="0"/>
              <w:rPr>
                <w:sz w:val="17"/>
                <w:szCs w:val="17"/>
                <w:color w:val="auto"/>
              </w:rPr>
            </w:pPr>
          </w:p>
        </w:tc>
        <w:tc>
          <w:tcPr>
            <w:tcW w:w="680" w:type="dxa"/>
            <w:vAlign w:val="bottom"/>
            <w:shd w:val="clear" w:color="auto" w:fill="E2007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240" w:type="dxa"/>
            <w:vAlign w:val="bottom"/>
            <w:tcBorders>
              <w:bottom w:val="single" w:sz="8" w:color="E20074"/>
            </w:tcBorders>
            <w:shd w:val="clear" w:color="auto" w:fill="E20074"/>
          </w:tcPr>
          <w:p>
            <w:pPr>
              <w:spacing w:after="0"/>
              <w:rPr>
                <w:sz w:val="18"/>
                <w:szCs w:val="18"/>
                <w:color w:val="auto"/>
              </w:rPr>
            </w:pPr>
          </w:p>
        </w:tc>
        <w:tc>
          <w:tcPr>
            <w:tcW w:w="80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1040" w:type="dxa"/>
            <w:vAlign w:val="bottom"/>
            <w:tcBorders>
              <w:bottom w:val="single" w:sz="8" w:color="E20074"/>
            </w:tcBorders>
            <w:gridSpan w:val="2"/>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660" w:type="dxa"/>
            <w:vAlign w:val="bottom"/>
            <w:tcBorders>
              <w:bottom w:val="single" w:sz="8" w:color="E20074"/>
            </w:tcBorders>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100" w:type="dxa"/>
            <w:vAlign w:val="bottom"/>
          </w:tcPr>
          <w:p>
            <w:pPr>
              <w:spacing w:after="0"/>
              <w:rPr>
                <w:sz w:val="18"/>
                <w:szCs w:val="18"/>
                <w:color w:val="auto"/>
              </w:rPr>
            </w:pPr>
          </w:p>
        </w:tc>
        <w:tc>
          <w:tcPr>
            <w:tcW w:w="240" w:type="dxa"/>
            <w:vAlign w:val="bottom"/>
            <w:tcBorders>
              <w:bottom w:val="single" w:sz="8" w:color="E20074"/>
            </w:tcBorders>
            <w:shd w:val="clear" w:color="auto" w:fill="E20074"/>
          </w:tcPr>
          <w:p>
            <w:pPr>
              <w:spacing w:after="0"/>
              <w:rPr>
                <w:sz w:val="18"/>
                <w:szCs w:val="18"/>
                <w:color w:val="auto"/>
              </w:rPr>
            </w:pPr>
          </w:p>
        </w:tc>
        <w:tc>
          <w:tcPr>
            <w:tcW w:w="820" w:type="dxa"/>
            <w:vAlign w:val="bottom"/>
            <w:tcBorders>
              <w:bottom w:val="single" w:sz="8" w:color="E20074"/>
            </w:tcBorders>
            <w:shd w:val="clear" w:color="auto" w:fill="E20074"/>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2026</w:t>
            </w:r>
          </w:p>
        </w:tc>
        <w:tc>
          <w:tcPr>
            <w:tcW w:w="100" w:type="dxa"/>
            <w:vAlign w:val="bottom"/>
          </w:tcPr>
          <w:p>
            <w:pPr>
              <w:spacing w:after="0"/>
              <w:rPr>
                <w:sz w:val="18"/>
                <w:szCs w:val="18"/>
                <w:color w:val="auto"/>
              </w:rPr>
            </w:pPr>
          </w:p>
        </w:tc>
        <w:tc>
          <w:tcPr>
            <w:tcW w:w="240" w:type="dxa"/>
            <w:vAlign w:val="bottom"/>
            <w:tcBorders>
              <w:bottom w:val="single" w:sz="8" w:color="E20074"/>
            </w:tcBorders>
            <w:shd w:val="clear" w:color="auto" w:fill="E20074"/>
          </w:tcPr>
          <w:p>
            <w:pPr>
              <w:spacing w:after="0"/>
              <w:rPr>
                <w:sz w:val="18"/>
                <w:szCs w:val="18"/>
                <w:color w:val="auto"/>
              </w:rPr>
            </w:pPr>
          </w:p>
        </w:tc>
        <w:tc>
          <w:tcPr>
            <w:tcW w:w="820" w:type="dxa"/>
            <w:vAlign w:val="bottom"/>
            <w:tcBorders>
              <w:bottom w:val="single" w:sz="8" w:color="E20074"/>
            </w:tcBorders>
            <w:shd w:val="clear" w:color="auto" w:fill="E20074"/>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2025</w:t>
            </w:r>
          </w:p>
        </w:tc>
        <w:tc>
          <w:tcPr>
            <w:tcW w:w="100" w:type="dxa"/>
            <w:vAlign w:val="bottom"/>
          </w:tcPr>
          <w:p>
            <w:pPr>
              <w:spacing w:after="0"/>
              <w:rPr>
                <w:sz w:val="18"/>
                <w:szCs w:val="18"/>
                <w:color w:val="auto"/>
              </w:rPr>
            </w:pPr>
          </w:p>
        </w:tc>
        <w:tc>
          <w:tcPr>
            <w:tcW w:w="260" w:type="dxa"/>
            <w:vAlign w:val="bottom"/>
            <w:tcBorders>
              <w:bottom w:val="single" w:sz="8" w:color="E20074"/>
            </w:tcBorders>
            <w:shd w:val="clear" w:color="auto" w:fill="E20074"/>
          </w:tcPr>
          <w:p>
            <w:pPr>
              <w:spacing w:after="0"/>
              <w:rPr>
                <w:sz w:val="18"/>
                <w:szCs w:val="18"/>
                <w:color w:val="auto"/>
              </w:rPr>
            </w:pPr>
          </w:p>
        </w:tc>
        <w:tc>
          <w:tcPr>
            <w:tcW w:w="640" w:type="dxa"/>
            <w:vAlign w:val="bottom"/>
            <w:tcBorders>
              <w:bottom w:val="single" w:sz="8" w:color="E20074"/>
            </w:tcBorders>
            <w:shd w:val="clear" w:color="auto" w:fill="E20074"/>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w:t>
            </w:r>
          </w:p>
        </w:tc>
        <w:tc>
          <w:tcPr>
            <w:tcW w:w="120" w:type="dxa"/>
            <w:vAlign w:val="bottom"/>
          </w:tcPr>
          <w:p>
            <w:pPr>
              <w:spacing w:after="0"/>
              <w:rPr>
                <w:sz w:val="18"/>
                <w:szCs w:val="18"/>
                <w:color w:val="auto"/>
              </w:rPr>
            </w:pPr>
          </w:p>
        </w:tc>
        <w:tc>
          <w:tcPr>
            <w:tcW w:w="340" w:type="dxa"/>
            <w:vAlign w:val="bottom"/>
            <w:tcBorders>
              <w:bottom w:val="single" w:sz="8" w:color="E20074"/>
            </w:tcBorders>
            <w:shd w:val="clear" w:color="auto" w:fill="E20074"/>
          </w:tcPr>
          <w:p>
            <w:pPr>
              <w:spacing w:after="0"/>
              <w:rPr>
                <w:sz w:val="18"/>
                <w:szCs w:val="18"/>
                <w:color w:val="auto"/>
              </w:rPr>
            </w:pPr>
          </w:p>
        </w:tc>
        <w:tc>
          <w:tcPr>
            <w:tcW w:w="680" w:type="dxa"/>
            <w:vAlign w:val="bottom"/>
            <w:tcBorders>
              <w:bottom w:val="single" w:sz="8" w:color="E20074"/>
            </w:tcBorders>
            <w:shd w:val="clear" w:color="auto" w:fill="E20074"/>
          </w:tcPr>
          <w:p>
            <w:pPr>
              <w:jc w:val="right"/>
              <w:ind w:right="368"/>
              <w:spacing w:after="0"/>
              <w:rPr>
                <w:sz w:val="20"/>
                <w:szCs w:val="20"/>
                <w:color w:val="auto"/>
              </w:rPr>
            </w:pPr>
            <w:r>
              <w:rPr>
                <w:rFonts w:ascii="Times New Roman" w:cs="Times New Roman" w:eastAsia="Times New Roman" w:hAnsi="Times New Roman"/>
                <w:sz w:val="14"/>
                <w:szCs w:val="14"/>
                <w:b w:val="1"/>
                <w:bCs w:val="1"/>
                <w:color w:val="FFFFFF"/>
              </w:rPr>
              <w:t>%</w:t>
            </w:r>
          </w:p>
        </w:tc>
        <w:tc>
          <w:tcPr>
            <w:tcW w:w="0" w:type="dxa"/>
            <w:vAlign w:val="bottom"/>
          </w:tcPr>
          <w:p>
            <w:pPr>
              <w:spacing w:after="0"/>
              <w:rPr>
                <w:sz w:val="1"/>
                <w:szCs w:val="1"/>
                <w:color w:val="auto"/>
              </w:rPr>
            </w:pPr>
          </w:p>
        </w:tc>
      </w:tr>
      <w:tr>
        <w:trPr>
          <w:trHeight w:val="210"/>
        </w:trPr>
        <w:tc>
          <w:tcPr>
            <w:tcW w:w="246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7,341</w:t>
            </w:r>
          </w:p>
        </w:tc>
        <w:tc>
          <w:tcPr>
            <w:tcW w:w="540" w:type="dxa"/>
            <w:vAlign w:val="bottom"/>
            <w:tcBorders>
              <w:bottom w:val="single" w:sz="8" w:color="DDDDDD"/>
            </w:tcBorders>
            <w:gridSpan w:val="2"/>
            <w:shd w:val="clear" w:color="auto" w:fill="DDDDDD"/>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7,457</w:t>
            </w:r>
          </w:p>
        </w:tc>
        <w:tc>
          <w:tcPr>
            <w:tcW w:w="36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DDDDDD"/>
            </w:tcBorders>
            <w:shd w:val="clear" w:color="auto" w:fill="DDDDDD"/>
          </w:tcPr>
          <w:p>
            <w:pPr>
              <w:jc w:val="center"/>
              <w:ind w:left="208"/>
              <w:spacing w:after="0"/>
              <w:rPr>
                <w:sz w:val="20"/>
                <w:szCs w:val="20"/>
                <w:color w:val="auto"/>
              </w:rPr>
            </w:pPr>
            <w:r>
              <w:rPr>
                <w:rFonts w:ascii="Times New Roman" w:cs="Times New Roman" w:eastAsia="Times New Roman" w:hAnsi="Times New Roman"/>
                <w:sz w:val="14"/>
                <w:szCs w:val="14"/>
                <w:color w:val="auto"/>
                <w:w w:val="98"/>
              </w:rPr>
              <w:t>(116)</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22,063</w:t>
            </w:r>
          </w:p>
        </w:tc>
        <w:tc>
          <w:tcPr>
            <w:tcW w:w="34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DDDDDD"/>
            </w:tcBorders>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21,296</w:t>
            </w:r>
          </w:p>
        </w:tc>
        <w:tc>
          <w:tcPr>
            <w:tcW w:w="36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DDDDDD"/>
            </w:tcBorders>
            <w:shd w:val="clear" w:color="auto" w:fill="DDDDDD"/>
          </w:tcPr>
          <w:p>
            <w:pPr>
              <w:jc w:val="center"/>
              <w:ind w:left="228"/>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Cash purchases of property and</w:t>
            </w:r>
          </w:p>
        </w:tc>
        <w:tc>
          <w:tcPr>
            <w:tcW w:w="240" w:type="dxa"/>
            <w:vAlign w:val="bottom"/>
          </w:tcPr>
          <w:p>
            <w:pPr>
              <w:spacing w:after="0"/>
              <w:rPr>
                <w:sz w:val="13"/>
                <w:szCs w:val="13"/>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w w:val="95"/>
              </w:rPr>
              <w:t>369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(7,596)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(7,486)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w w:val="98"/>
              </w:rPr>
              <w:t>(110)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3"/>
        </w:trPr>
        <w:tc>
          <w:tcPr>
            <w:tcW w:w="2460" w:type="dxa"/>
            <w:vAlign w:val="bottom"/>
            <w:tcBorders>
              <w:bottom w:val="single" w:sz="8" w:color="DDDDDD"/>
            </w:tcBorders>
          </w:tcPr>
          <w:p>
            <w:pPr>
              <w:ind w:left="20"/>
              <w:spacing w:after="0"/>
              <w:rPr>
                <w:sz w:val="20"/>
                <w:szCs w:val="20"/>
                <w:color w:val="auto"/>
              </w:rPr>
            </w:pPr>
            <w:r>
              <w:rPr>
                <w:rFonts w:ascii="Times New Roman" w:cs="Times New Roman" w:eastAsia="Times New Roman" w:hAnsi="Times New Roman"/>
                <w:sz w:val="14"/>
                <w:szCs w:val="14"/>
                <w:color w:val="auto"/>
              </w:rPr>
              <w:t>equipment, including capitalized interest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340" w:type="dxa"/>
            <w:vAlign w:val="bottom"/>
            <w:tcBorders>
              <w:bottom w:val="single" w:sz="8" w:color="DDDDDD"/>
            </w:tcBorders>
          </w:tcPr>
          <w:p>
            <w:pPr>
              <w:spacing w:after="0"/>
              <w:rPr>
                <w:sz w:val="16"/>
                <w:szCs w:val="16"/>
                <w:color w:val="auto"/>
              </w:rPr>
            </w:pPr>
          </w:p>
        </w:tc>
        <w:tc>
          <w:tcPr>
            <w:tcW w:w="680" w:type="dxa"/>
            <w:vAlign w:val="bottom"/>
            <w:tcBorders>
              <w:bottom w:val="single" w:sz="8" w:color="DDDDDD"/>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340" w:type="dxa"/>
            <w:vAlign w:val="bottom"/>
            <w:tcBorders>
              <w:bottom w:val="single" w:sz="8" w:color="DDDDDD"/>
            </w:tcBorders>
          </w:tcPr>
          <w:p>
            <w:pPr>
              <w:spacing w:after="0"/>
              <w:rPr>
                <w:sz w:val="16"/>
                <w:szCs w:val="16"/>
                <w:color w:val="auto"/>
              </w:rPr>
            </w:pPr>
          </w:p>
        </w:tc>
        <w:tc>
          <w:tcPr>
            <w:tcW w:w="680" w:type="dxa"/>
            <w:vAlign w:val="bottom"/>
            <w:tcBorders>
              <w:bottom w:val="single" w:sz="8" w:color="DDDDD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Adjusted Free Cash Flow</w:t>
            </w:r>
          </w:p>
        </w:tc>
        <w:tc>
          <w:tcPr>
            <w:tcW w:w="24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5,071</w:t>
            </w:r>
          </w:p>
        </w:tc>
        <w:tc>
          <w:tcPr>
            <w:tcW w:w="540" w:type="dxa"/>
            <w:vAlign w:val="bottom"/>
            <w:gridSpan w:val="2"/>
            <w:shd w:val="clear" w:color="auto" w:fill="DDDDDD"/>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4"/>
                <w:szCs w:val="14"/>
                <w:color w:val="auto"/>
              </w:rPr>
              <w:t>4,818</w:t>
            </w:r>
          </w:p>
        </w:tc>
        <w:tc>
          <w:tcPr>
            <w:tcW w:w="36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DDDDDD"/>
          </w:tcPr>
          <w:p>
            <w:pPr>
              <w:jc w:val="center"/>
              <w:ind w:left="228"/>
              <w:spacing w:after="0"/>
              <w:rPr>
                <w:sz w:val="20"/>
                <w:szCs w:val="20"/>
                <w:color w:val="auto"/>
              </w:rPr>
            </w:pPr>
            <w:r>
              <w:rPr>
                <w:rFonts w:ascii="Times New Roman" w:cs="Times New Roman" w:eastAsia="Times New Roman" w:hAnsi="Times New Roman"/>
                <w:sz w:val="14"/>
                <w:szCs w:val="14"/>
                <w:color w:val="auto"/>
                <w:w w:val="95"/>
              </w:rPr>
              <w:t>253</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34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14,467</w:t>
            </w:r>
          </w:p>
        </w:tc>
        <w:tc>
          <w:tcPr>
            <w:tcW w:w="34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4"/>
                <w:szCs w:val="14"/>
                <w:color w:val="auto"/>
              </w:rPr>
              <w:t>13,810</w:t>
            </w:r>
          </w:p>
        </w:tc>
        <w:tc>
          <w:tcPr>
            <w:tcW w:w="36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DDDDDD"/>
          </w:tcPr>
          <w:p>
            <w:pPr>
              <w:jc w:val="center"/>
              <w:ind w:left="228"/>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45"/>
        </w:trPr>
        <w:tc>
          <w:tcPr>
            <w:tcW w:w="2460" w:type="dxa"/>
            <w:vAlign w:val="bottom"/>
            <w:tcBorders>
              <w:top w:val="single" w:sz="8" w:color="DDDDDD"/>
            </w:tcBorders>
          </w:tcPr>
          <w:p>
            <w:pPr>
              <w:ind w:left="220"/>
              <w:spacing w:after="0" w:line="145" w:lineRule="exact"/>
              <w:rPr>
                <w:sz w:val="20"/>
                <w:szCs w:val="20"/>
                <w:color w:val="auto"/>
              </w:rPr>
            </w:pPr>
            <w:r>
              <w:rPr>
                <w:rFonts w:ascii="Times New Roman" w:cs="Times New Roman" w:eastAsia="Times New Roman" w:hAnsi="Times New Roman"/>
                <w:sz w:val="14"/>
                <w:szCs w:val="14"/>
                <w:color w:val="auto"/>
              </w:rPr>
              <w:t>Net cash provided by operating</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DDDDDD"/>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DDDDDD"/>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DDDDDD"/>
            </w:tcBorders>
          </w:tcPr>
          <w:p>
            <w:pPr>
              <w:spacing w:after="0"/>
              <w:rPr>
                <w:sz w:val="12"/>
                <w:szCs w:val="12"/>
                <w:color w:val="auto"/>
              </w:rPr>
            </w:pPr>
          </w:p>
        </w:tc>
        <w:tc>
          <w:tcPr>
            <w:tcW w:w="340" w:type="dxa"/>
            <w:vAlign w:val="bottom"/>
            <w:tcBorders>
              <w:top w:val="single" w:sz="8" w:color="DDDDDD"/>
            </w:tcBorders>
          </w:tcPr>
          <w:p>
            <w:pPr>
              <w:spacing w:after="0"/>
              <w:rPr>
                <w:sz w:val="12"/>
                <w:szCs w:val="12"/>
                <w:color w:val="auto"/>
              </w:rPr>
            </w:pPr>
          </w:p>
        </w:tc>
        <w:tc>
          <w:tcPr>
            <w:tcW w:w="680" w:type="dxa"/>
            <w:vAlign w:val="bottom"/>
            <w:tcBorders>
              <w:top w:val="single" w:sz="8" w:color="DDDDDD"/>
            </w:tcBorders>
          </w:tcPr>
          <w:p>
            <w:pPr>
              <w:spacing w:after="0"/>
              <w:rPr>
                <w:sz w:val="12"/>
                <w:szCs w:val="12"/>
                <w:color w:val="auto"/>
              </w:rPr>
            </w:pPr>
          </w:p>
        </w:tc>
        <w:tc>
          <w:tcPr>
            <w:tcW w:w="100" w:type="dxa"/>
            <w:vAlign w:val="bottom"/>
            <w:tcBorders>
              <w:top w:val="single" w:sz="8" w:color="DDDDDD"/>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DDDDDD"/>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DDDDDD"/>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DDDDDD"/>
            </w:tcBorders>
          </w:tcPr>
          <w:p>
            <w:pPr>
              <w:spacing w:after="0"/>
              <w:rPr>
                <w:sz w:val="12"/>
                <w:szCs w:val="12"/>
                <w:color w:val="auto"/>
              </w:rPr>
            </w:pPr>
          </w:p>
        </w:tc>
        <w:tc>
          <w:tcPr>
            <w:tcW w:w="340" w:type="dxa"/>
            <w:vAlign w:val="bottom"/>
            <w:tcBorders>
              <w:top w:val="single" w:sz="8" w:color="DDDDDD"/>
            </w:tcBorders>
          </w:tcPr>
          <w:p>
            <w:pPr>
              <w:spacing w:after="0"/>
              <w:rPr>
                <w:sz w:val="12"/>
                <w:szCs w:val="12"/>
                <w:color w:val="auto"/>
              </w:rPr>
            </w:pPr>
          </w:p>
        </w:tc>
        <w:tc>
          <w:tcPr>
            <w:tcW w:w="680" w:type="dxa"/>
            <w:vAlign w:val="bottom"/>
            <w:tcBorders>
              <w:top w:val="single" w:sz="8" w:color="DDDDDD"/>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60" w:type="dxa"/>
            <w:vAlign w:val="bottom"/>
          </w:tcPr>
          <w:p>
            <w:pPr>
              <w:ind w:left="220"/>
              <w:spacing w:after="0" w:line="145" w:lineRule="exact"/>
              <w:rPr>
                <w:sz w:val="20"/>
                <w:szCs w:val="20"/>
                <w:color w:val="auto"/>
              </w:rPr>
            </w:pPr>
            <w:r>
              <w:rPr>
                <w:rFonts w:ascii="Times New Roman" w:cs="Times New Roman" w:eastAsia="Times New Roman" w:hAnsi="Times New Roman"/>
                <w:sz w:val="14"/>
                <w:szCs w:val="14"/>
                <w:color w:val="auto"/>
              </w:rPr>
              <w:t>activities margin (Net cash provided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by operating activities divided by</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 bps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 bps</w:t>
            </w:r>
          </w:p>
        </w:tc>
        <w:tc>
          <w:tcPr>
            <w:tcW w:w="0" w:type="dxa"/>
            <w:vAlign w:val="bottom"/>
          </w:tcPr>
          <w:p>
            <w:pPr>
              <w:spacing w:after="0"/>
              <w:rPr>
                <w:sz w:val="1"/>
                <w:szCs w:val="1"/>
                <w:color w:val="auto"/>
              </w:rPr>
            </w:pPr>
          </w:p>
        </w:tc>
      </w:tr>
      <w:tr>
        <w:trPr>
          <w:trHeight w:val="188"/>
        </w:trPr>
        <w:tc>
          <w:tcPr>
            <w:tcW w:w="2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Service revenues)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460" w:type="dxa"/>
            <w:vAlign w:val="bottom"/>
            <w:shd w:val="clear" w:color="auto" w:fill="DDDDDD"/>
          </w:tcPr>
          <w:p>
            <w:pPr>
              <w:ind w:left="220"/>
              <w:spacing w:after="0" w:line="153" w:lineRule="exact"/>
              <w:rPr>
                <w:sz w:val="20"/>
                <w:szCs w:val="20"/>
                <w:color w:val="auto"/>
              </w:rPr>
            </w:pPr>
            <w:r>
              <w:rPr>
                <w:rFonts w:ascii="Times New Roman" w:cs="Times New Roman" w:eastAsia="Times New Roman" w:hAnsi="Times New Roman"/>
                <w:sz w:val="14"/>
                <w:szCs w:val="14"/>
                <w:color w:val="auto"/>
              </w:rPr>
              <w:t>Adjusted Free Cash Flow margin</w:t>
            </w:r>
          </w:p>
        </w:tc>
        <w:tc>
          <w:tcPr>
            <w:tcW w:w="240" w:type="dxa"/>
            <w:vAlign w:val="bottom"/>
            <w:shd w:val="clear" w:color="auto" w:fill="DDDDDD"/>
          </w:tcPr>
          <w:p>
            <w:pPr>
              <w:spacing w:after="0"/>
              <w:rPr>
                <w:sz w:val="13"/>
                <w:szCs w:val="13"/>
                <w:color w:val="auto"/>
              </w:rPr>
            </w:pPr>
          </w:p>
        </w:tc>
        <w:tc>
          <w:tcPr>
            <w:tcW w:w="8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440" w:type="dxa"/>
            <w:vAlign w:val="bottom"/>
            <w:shd w:val="clear" w:color="auto" w:fill="DDDDDD"/>
          </w:tcPr>
          <w:p>
            <w:pPr>
              <w:spacing w:after="0"/>
              <w:rPr>
                <w:sz w:val="13"/>
                <w:szCs w:val="13"/>
                <w:color w:val="auto"/>
              </w:rPr>
            </w:pPr>
          </w:p>
        </w:tc>
        <w:tc>
          <w:tcPr>
            <w:tcW w:w="6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66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8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64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6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DDDDDD"/>
          </w:tcPr>
          <w:p>
            <w:pPr>
              <w:ind w:left="220"/>
              <w:spacing w:after="0" w:line="145" w:lineRule="exact"/>
              <w:rPr>
                <w:sz w:val="20"/>
                <w:szCs w:val="20"/>
                <w:color w:val="auto"/>
              </w:rPr>
            </w:pPr>
            <w:r>
              <w:rPr>
                <w:rFonts w:ascii="Times New Roman" w:cs="Times New Roman" w:eastAsia="Times New Roman" w:hAnsi="Times New Roman"/>
                <w:sz w:val="14"/>
                <w:szCs w:val="14"/>
                <w:color w:val="auto"/>
              </w:rPr>
              <w:t>(Adjusted Free Cash Flow divided by</w:t>
            </w:r>
          </w:p>
        </w:tc>
        <w:tc>
          <w:tcPr>
            <w:tcW w:w="240" w:type="dxa"/>
            <w:vAlign w:val="bottom"/>
            <w:shd w:val="clear" w:color="auto" w:fill="DDDDDD"/>
          </w:tcPr>
          <w:p>
            <w:pPr>
              <w:spacing w:after="0"/>
              <w:rPr>
                <w:sz w:val="12"/>
                <w:szCs w:val="12"/>
                <w:color w:val="auto"/>
              </w:rPr>
            </w:pP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DDDDDD"/>
          </w:tcPr>
          <w:p>
            <w:pPr>
              <w:spacing w:after="0"/>
              <w:rPr>
                <w:sz w:val="12"/>
                <w:szCs w:val="12"/>
                <w:color w:val="auto"/>
              </w:rPr>
            </w:pPr>
          </w:p>
        </w:tc>
        <w:tc>
          <w:tcPr>
            <w:tcW w:w="440" w:type="dxa"/>
            <w:vAlign w:val="bottom"/>
            <w:shd w:val="clear" w:color="auto" w:fill="DDDDDD"/>
          </w:tcPr>
          <w:p>
            <w:pPr>
              <w:spacing w:after="0"/>
              <w:rPr>
                <w:sz w:val="12"/>
                <w:szCs w:val="12"/>
                <w:color w:val="auto"/>
              </w:rPr>
            </w:pPr>
          </w:p>
        </w:tc>
        <w:tc>
          <w:tcPr>
            <w:tcW w:w="6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660" w:type="dxa"/>
            <w:vAlign w:val="bottom"/>
            <w:shd w:val="clear" w:color="auto" w:fill="DDDDDD"/>
          </w:tcPr>
          <w:p>
            <w:pPr>
              <w:spacing w:after="0"/>
              <w:rPr>
                <w:sz w:val="12"/>
                <w:szCs w:val="12"/>
                <w:color w:val="auto"/>
              </w:rPr>
            </w:pPr>
          </w:p>
        </w:tc>
        <w:tc>
          <w:tcPr>
            <w:tcW w:w="10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 bps</w:t>
            </w:r>
          </w:p>
        </w:tc>
        <w:tc>
          <w:tcPr>
            <w:tcW w:w="10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shd w:val="clear" w:color="auto" w:fill="DDDDDD"/>
          </w:tcPr>
          <w:p>
            <w:pPr>
              <w:spacing w:after="0"/>
              <w:rPr>
                <w:sz w:val="12"/>
                <w:szCs w:val="12"/>
                <w:color w:val="auto"/>
              </w:rPr>
            </w:pPr>
          </w:p>
        </w:tc>
        <w:tc>
          <w:tcPr>
            <w:tcW w:w="240" w:type="dxa"/>
            <w:vAlign w:val="bottom"/>
            <w:shd w:val="clear" w:color="auto" w:fill="DDDDDD"/>
          </w:tcPr>
          <w:p>
            <w:pPr>
              <w:spacing w:after="0"/>
              <w:rPr>
                <w:sz w:val="12"/>
                <w:szCs w:val="12"/>
                <w:color w:val="auto"/>
              </w:rPr>
            </w:pP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640" w:type="dxa"/>
            <w:vAlign w:val="bottom"/>
            <w:shd w:val="clear" w:color="auto" w:fill="DDDDDD"/>
          </w:tcPr>
          <w:p>
            <w:pPr>
              <w:spacing w:after="0"/>
              <w:rPr>
                <w:sz w:val="12"/>
                <w:szCs w:val="12"/>
                <w:color w:val="auto"/>
              </w:rPr>
            </w:pPr>
          </w:p>
        </w:tc>
        <w:tc>
          <w:tcPr>
            <w:tcW w:w="120" w:type="dxa"/>
            <w:vAlign w:val="bottom"/>
            <w:shd w:val="clear" w:color="auto" w:fill="DDDDDD"/>
          </w:tcPr>
          <w:p>
            <w:pPr>
              <w:spacing w:after="0"/>
              <w:rPr>
                <w:sz w:val="12"/>
                <w:szCs w:val="12"/>
                <w:color w:val="auto"/>
              </w:rPr>
            </w:pPr>
          </w:p>
        </w:tc>
        <w:tc>
          <w:tcPr>
            <w:tcW w:w="340" w:type="dxa"/>
            <w:vAlign w:val="bottom"/>
            <w:shd w:val="clear" w:color="auto" w:fill="DDDDDD"/>
          </w:tcPr>
          <w:p>
            <w:pPr>
              <w:spacing w:after="0"/>
              <w:rPr>
                <w:sz w:val="12"/>
                <w:szCs w:val="12"/>
                <w:color w:val="auto"/>
              </w:rPr>
            </w:pPr>
          </w:p>
        </w:tc>
        <w:tc>
          <w:tcPr>
            <w:tcW w:w="6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-100 bps</w:t>
            </w:r>
          </w:p>
        </w:tc>
        <w:tc>
          <w:tcPr>
            <w:tcW w:w="0" w:type="dxa"/>
            <w:vAlign w:val="bottom"/>
          </w:tcPr>
          <w:p>
            <w:pPr>
              <w:spacing w:after="0"/>
              <w:rPr>
                <w:sz w:val="1"/>
                <w:szCs w:val="1"/>
                <w:color w:val="auto"/>
              </w:rPr>
            </w:pPr>
          </w:p>
        </w:tc>
      </w:tr>
      <w:tr>
        <w:trPr>
          <w:trHeight w:val="203"/>
        </w:trPr>
        <w:tc>
          <w:tcPr>
            <w:tcW w:w="246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14"/>
                <w:szCs w:val="14"/>
                <w:color w:val="auto"/>
              </w:rPr>
              <w:t>Service revenues)</w:t>
            </w:r>
          </w:p>
        </w:tc>
        <w:tc>
          <w:tcPr>
            <w:tcW w:w="240" w:type="dxa"/>
            <w:vAlign w:val="bottom"/>
            <w:shd w:val="clear" w:color="auto" w:fill="DDDDDD"/>
          </w:tcPr>
          <w:p>
            <w:pPr>
              <w:spacing w:after="0"/>
              <w:rPr>
                <w:sz w:val="17"/>
                <w:szCs w:val="17"/>
                <w:color w:val="auto"/>
              </w:rPr>
            </w:pPr>
          </w:p>
        </w:tc>
        <w:tc>
          <w:tcPr>
            <w:tcW w:w="8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40" w:type="dxa"/>
            <w:vAlign w:val="bottom"/>
            <w:shd w:val="clear" w:color="auto" w:fill="DDDDDD"/>
          </w:tcPr>
          <w:p>
            <w:pPr>
              <w:spacing w:after="0"/>
              <w:rPr>
                <w:sz w:val="17"/>
                <w:szCs w:val="17"/>
                <w:color w:val="auto"/>
              </w:rPr>
            </w:pPr>
          </w:p>
        </w:tc>
        <w:tc>
          <w:tcPr>
            <w:tcW w:w="60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6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68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2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68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Adjusted Free Cash Flow increased $253 million, or 5%, for the three months ended and increased $657 million, or 5%, for the nine months ended September 30,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three months ended September 30, 2026, was primarily from:</w:t>
      </w:r>
    </w:p>
    <w:p>
      <w:pPr>
        <w:spacing w:after="0" w:line="252" w:lineRule="exact"/>
        <w:rPr>
          <w:sz w:val="20"/>
          <w:szCs w:val="20"/>
          <w:color w:val="auto"/>
        </w:rPr>
      </w:pPr>
    </w:p>
    <w:p>
      <w:pPr>
        <w:ind w:left="660" w:right="120" w:hanging="328"/>
        <w:spacing w:after="0" w:line="28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Cash purchases of property and equipment, including capitalized interest, primarily from the planned timing of capital purchases;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cash provided by operating activities, as described above.</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includes the impact of $198 million and $96 million in net payments for Merger-related costs for the three months ended September 30, 2026 and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for the nine months ended September 30, 2026, was primarily from higher Net cash provided by operating activities, as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Free Cash Flow includes the impact of $532 million and $258 million in net payments for Merger-related costs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Capacity</w:t>
      </w:r>
    </w:p>
    <w:p>
      <w:pPr>
        <w:spacing w:after="0" w:line="25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 xml:space="preserve">We maintain a revolving credit facility (the “Revolving Credit Facility”) with an aggregate commitment amount of $10.0 billion. As of September 30, 2026, there was no outstanding balance under the Revolving Credit Facility. See </w:t>
      </w:r>
      <w:r>
        <w:rPr>
          <w:rFonts w:ascii="Times New Roman" w:cs="Times New Roman" w:eastAsia="Times New Roman" w:hAnsi="Times New Roman"/>
          <w:sz w:val="18"/>
          <w:szCs w:val="18"/>
          <w:u w:val="single" w:color="auto"/>
          <w:color w:val="0000FF"/>
        </w:rPr>
        <w:t>Note 8 – Debt</w:t>
      </w:r>
      <w:r>
        <w:rPr>
          <w:rFonts w:ascii="Times New Roman" w:cs="Times New Roman" w:eastAsia="Times New Roman" w:hAnsi="Times New Roman"/>
          <w:sz w:val="18"/>
          <w:szCs w:val="18"/>
          <w:color w:val="auto"/>
        </w:rPr>
        <w:t xml:space="preserve"> of the Notes to the Condensed Consolidated Financial Statements for more information regarding the Revolving Credit Facility.</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maintain an unsecured short-term commercial paper program with the ability to borrow up to $2.0 billion from time to time. This program supplements our other available external financing arrangements and proceeds are expected to be used for general corporate purposes. As of September 30, 2026, there was no outstanding balance under this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of September 30, 2026, our total debt and financing lease liabilities were $86.0 billion, excluding our tower obligations, of which $77.3 billion was classified as long-term debt and $1.1 billion was classified as long-term financing lease liabilities.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issued long-term debt for net proceeds of $6.9 billion and redeemed, repaid and repurchased $9.1 billion of short- and long-term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regarding our debt financing transactions, see </w:t>
      </w:r>
      <w:r>
        <w:rPr>
          <w:rFonts w:ascii="Times New Roman" w:cs="Times New Roman" w:eastAsia="Times New Roman" w:hAnsi="Times New Roman"/>
          <w:sz w:val="18"/>
          <w:szCs w:val="18"/>
          <w:u w:val="single" w:color="auto"/>
          <w:color w:val="0000FF"/>
        </w:rPr>
        <w:t>Note 8 – Debt</w:t>
      </w:r>
      <w:r>
        <w:rPr>
          <w:rFonts w:ascii="Times New Roman" w:cs="Times New Roman" w:eastAsia="Times New Roman" w:hAnsi="Times New Roman"/>
          <w:sz w:val="18"/>
          <w:szCs w:val="18"/>
          <w:color w:val="auto"/>
        </w:rPr>
        <w:t xml:space="preserve"> of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Spectrum Auction</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June 2026, the FCC announced that we were the winning bidder of 102 licenses in Auction 113 (AWS-3 band spectrum) for an aggregate purchase price of $278 million. At the inception of Auction 113 in April 2026, we deposited $25 million. We paid the FCC the remaining $253 million for the licenses won in the auction in July 2026.</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spectrum auction, see </w:t>
      </w:r>
      <w:r>
        <w:rPr>
          <w:rFonts w:ascii="Times New Roman" w:cs="Times New Roman" w:eastAsia="Times New Roman" w:hAnsi="Times New Roman"/>
          <w:sz w:val="18"/>
          <w:szCs w:val="18"/>
          <w:u w:val="single" w:color="auto"/>
          <w:color w:val="0000FF"/>
        </w:rPr>
        <w:t>Note 6 – Spectrum License Transactions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Purchase Agreements</w:t>
      </w:r>
    </w:p>
    <w:p>
      <w:pPr>
        <w:spacing w:after="0" w:line="25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August 8, 2022, we entered into License Purchase Agreements to acquire spectrum in the 600 MHz band from Channel 51 License Co LLC and LB License Co, LLC (together with Channel 51 License Co LLC, the “Sellers”) in exchange for total cash consideration of $3.5 billion. On March 30, 2023, we and the Sellers entered into Amended and Restated License Purchase Agreements, pursuant to which we and the Sellers agreed to bifurcate the transaction into two tranches of licenses, with the closings on the acquisitions of certain licenses in Chicago, Dallas and New Orleans being deferred in order to potentially expedite the regulatory approval process for the remainder of the licenses. Subsequently, on August 25, 2023, we and the Sellers entered into Amendments No. 1 to the Amended and Restated License Purchase Agreements, whereby we deferred the closings of certain additional licenses in Chicago and Dallas into the second closing tranche. Together, the licenses with closings deferred into the second closing tranche represent approximately $1.1 billion of the aggregate $3.5 billion cash consideration.</w:t>
      </w:r>
    </w:p>
    <w:p>
      <w:pPr>
        <w:spacing w:after="0" w:line="2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FCC approved the purchase of the first tranche on December 29, 2023. The first tranche closed on June 24, 2024, and the associated payment of $2.4 billion was made on August 5, 2024.</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FCC approved the purchase of the Dallas licenses included in the second tranche on October 22, 2024. The purchase of the Dallas licenses closed on December 6, 2024, and the associated payment of $541 million was made on the same day.</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FCC approved the purchase of the remaining Chicago and New Orleans deferred licenses from the second tranche on April 15, 2025. The purchase of the remaining licenses closed on June 2, 2025, and the associated payment of $604 million was made on the same day.</w:t>
      </w:r>
    </w:p>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On September 12, 2023, we entered into a license purchase agreement with Comcast (the “Comcast License Purchase Agreement”), pursuant to which we will acquire spectrum in the 600 MHz band from Comcast in exchange for total cash consideration of between $1.2 billion and $3.3 billion, subject to an application for FCC approval. The licenses are subject to an exclusive leasing arrangement between us and Comcast entered into contemporaneously with the Comcast License Purchase Agreement. On January 13, 2025, we and Comcast entered into an amendment to the Comcast License Purchase Agreement, pursuant to which we will acquire additional spectrum. Subsequent to the amendment, the total cash consideration for the transaction is between</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$1.2 billion and $3.4 billion. On June 2, 2026, we closed on the acquisition of $46 million of the spectrum licenses, with the associated payment made on the same day. We are targeting a closing in the first half of 2028 for the acquisition of the remaining spectrum licenses.</w:t>
      </w:r>
    </w:p>
    <w:p>
      <w:pPr>
        <w:spacing w:after="0" w:line="208"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On September 10, 2024, we entered into a License Purchase Agreement with N77 License Co LLC (“Buyer”), pursuant to which Buyer has the option to purchase all or a portion of our remaining 3.45 GHz spectrum licenses in exchange for a range of cash consideration, with the specific licenses sold to be determined based upon the amount of committed financing raised by Buyer. Following receipt of the required regulatory approvals, on April 30, 2025, we completed the sale of a portion of our 3.45 GHz spectrum licenses for $2.0 billion.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30, 2025, we entered into a License and Unit Purchase Agreement with NEWLEVEL IV, L.P. and NEWLEVEL, LLC, both of which are affiliates of Grain Management, LLC (“Grain”), pursuant to which we agreed to sell our 800 MHz spectrum licenses in exchange for cash consideration and the receipt of Grain’s 600 MHz spectrum licenses, which we previously utilized under lease agreements with Grain. Following the receipt of certain regulatory approvals, including certain modifications to the 800 MHz spectrum licenses, on August 10, 2026, we completed the sale of our 800 MHz spectrum licenses in exchange for cash consideration of $2.9 billion and the receipt of Grain’s 600 MHz spectrum licenses valued at $690 million, for total consideration of $3.6 billion. We expect to pay approximately $850 million of cash income taxes primarily through December 31, 2027, related to the close of this transaction. In addition, we are entitled to receive a 50% share of future proceeds from transactions entered into by Grain that monetize the 800 MHz spectrum licenses, in excess of their invested capital, certain expenses and a specified return on their investment. On October 8, 2026, Grain entered into a purchase and sale agreement with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Space Exploration Technologies Corp. for the sale of the 800 MHz spectrum licenses, subject to customary closing conditions and regulatory approvals. We have not recognized an associated gain for this potential additional consideration.</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September 21, 2026, we acquired 600 MHz spectrum licenses from TStar 600, LLC and two of its subsidiaries, in exchange for cash consideration of $290 million, which is expected to be paid in the first quarter of 2027.</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our license purchase agreements, see </w:t>
      </w:r>
      <w:r>
        <w:rPr>
          <w:rFonts w:ascii="Times New Roman" w:cs="Times New Roman" w:eastAsia="Times New Roman" w:hAnsi="Times New Roman"/>
          <w:sz w:val="18"/>
          <w:szCs w:val="18"/>
          <w:u w:val="single" w:color="auto"/>
          <w:color w:val="0000FF"/>
        </w:rPr>
        <w:t>Note 6 – Spectrum License Transactions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Ka’ena Corporation</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May 1, 2024, we completed the Ka’ena Acquisition. The total purchase price consists of an upfront payment on the Ka’ena Acquisition Date and an earnout payable.</w:t>
      </w:r>
    </w:p>
    <w:p>
      <w:pPr>
        <w:spacing w:after="0" w:line="18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Subsequent to September 30, 2026, on October 9, 2026, we transferred $164 million in cash and 1,510,371 shares of T-Mobile common stock in satisfaction of our $420 million earnout obligation.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Ka’ena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Vistar Media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2025, we completed the Vistar Acquisition in exchange for $621 million in cash.</w:t>
      </w:r>
    </w:p>
    <w:p>
      <w:pPr>
        <w:spacing w:after="0" w:line="2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Vistar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Blis Holdco Limited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2025, we completed the Blis Acquisition in exchange for $180 million in cash.</w:t>
      </w:r>
    </w:p>
    <w:p>
      <w:pPr>
        <w:spacing w:after="0" w:line="25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Blis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UScellular Wireless Business</w:t>
      </w:r>
    </w:p>
    <w:p>
      <w:pPr>
        <w:spacing w:after="0" w:line="25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August 1, 2025, we completed the UScellular Acquisition, and as a result, the UScellular Wireless Business became wholly owned by T-Mobile. In exchange, on the UScellular Acquisition Date, we transferred cash of $2.8 billion. Additionally, the closing of the UScellular Acquisition obligated us to execute the Exchange Offers. On August 5, 2025, we executed the Exchange Offers of certain senior notes of UScellular with an aggregate outstanding principal balance of $1.7 billion for T-Mobile notes with the same interest rate, interest payment dates, maturity dates and redemption terms as each corresponding series of senior notes of UScellular.</w:t>
      </w:r>
    </w:p>
    <w:p>
      <w:pPr>
        <w:spacing w:after="0" w:line="2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UScellular Acquisition, see </w:t>
      </w:r>
      <w:r>
        <w:rPr>
          <w:rFonts w:ascii="Times New Roman" w:cs="Times New Roman" w:eastAsia="Times New Roman" w:hAnsi="Times New Roman"/>
          <w:sz w:val="18"/>
          <w:szCs w:val="18"/>
          <w:u w:val="single" w:color="auto"/>
          <w:color w:val="0000FF"/>
        </w:rPr>
        <w:t>Note 2 – Business Combinations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Fiber Joint Ventures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April 1, 2025, we completed the joint acquisition of Lumos. During the three months ended June 30, 2025, we invested $932 million to acquire a 50% equity interest in the joint venture and 97,000 fiber customers. In addition, pursuant to the definitive agreement, we expect to make an additional capital contribution of approximately $500 million between 2027 and 2028 under the existing business plan.</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July 24, 2025, we completed the joint acquisition of Metronet. During the three months ended September 30, 2025, we invested $4.6 billion to acquire a 50% equity interest in the joint venture and 713,000 residential fiber customers.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April 24, 2026, we entered into a definitive agreement with Wren House to establish a joint venture to acquire i3 Broadband, one of Wren House’s existing fiber portfolio companies. Subsequent to September 30, 2026, on October 1, 2026, we completed the joint acquisition of i3 Broadband upon the completion of certain customary closing conditions, including the</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receipt of certain regulatory approvals. At closing, we invested $671 million to acquire a 50% equity interest in the joint venture and substantially all existing residential fiber customers.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25, 2026, we entered into definitive agreements with Oak Hill to establish a joint venture to acquire GoNetspeed and Greenlight Networks, two of Oak Hill’s existing fiber portfolio companies. The transaction with Oak Hill is expected to close in the first half of 2027, subject to customary closing conditions and regulatory approvals, at which time we expect to invest approximately $2.0 billion to acquire a 50% equity interest in the joint venture and substantially all existing residential fiber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arrangements, as amended from time to time, to sell certain EIP receivables and service accounts receivable on a revolving basis as a source of liquidity. As of September 30, 2026, we derecognized net receivables of $1.7 billion upon sale through these arrangements.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these off-balance sheet arrangements, see </w:t>
      </w:r>
      <w:r>
        <w:rPr>
          <w:rFonts w:ascii="Times New Roman" w:cs="Times New Roman" w:eastAsia="Times New Roman" w:hAnsi="Times New Roman"/>
          <w:sz w:val="18"/>
          <w:szCs w:val="18"/>
          <w:u w:val="single" w:color="auto"/>
          <w:color w:val="0000FF"/>
        </w:rPr>
        <w:t>Note 5 – Sales of Certain Receivables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Sources and Uses of Liquidity</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seek additional sources of liquidity, including through the issuance of additional debt, to continue to opportunistically acquire spectrum licenses or other long-lived assets in private party transactions, make strategic investments, repurchase shares, pay dividends or for the refinancing or repurchasing of existing long-term debt on an opportunistic basis. Excluding liquidity that could be needed for acquisitions of businesses, spectrum and other long-lived assets, or for any potential stockholder returns or debt repurchases, we expect our principal sources of funding to be sufficient to meet our anticipated liquidity needs for business operations for the next 12 months, as well as our longer-term liquidity needs. Our intended use of any such funds is for general corporate purposes, including for capital expenditures, spectrum purchases, opportunistic investments and acquisitions, redemption or repurchase of debt, tower obligations, share repurchases and dividend payments.</w:t>
      </w:r>
    </w:p>
    <w:p>
      <w:pPr>
        <w:spacing w:after="0" w:line="21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determine future liquidity requirements for operations, capital expenditures, share repurchases, dividend payments and debt repurchases based in large part upon projected financial and operating performance, and opportunities to acquire additional spectrum, repurchase shares or repurchase debt. We regularly review and update these projections for changes in current and projected financial and operating results, general economic conditions, the competitive landscape and other factors. We have incurred, and will incur, substantial expenses to comply with the current regulatory framework, including our national security obligations, and we have incurred all of the remaining restructuring and integration costs associated with the Sprint Merger, with the cash expenditures for the Sprint Merger-related costs extending beyond 2026. Additionally, we are expecting to incur substantial expenses in connection with the UScellular Acquisition, including coordinating and integrating businesses, operations, policies and procedures. Many of the expenses that will be incurred, by their nature, are difficult to estimate accurately. These expenses could exceed the costs historically borne by us and adversely affect our financial condition and results of operations. There are a number of additional risks and uncertainties that could cause our financial and operating results and capital requirements to differ materially from our projections, which could cause future liquidity to differ materially from our assessment.</w:t>
      </w:r>
    </w:p>
    <w:p>
      <w:pPr>
        <w:spacing w:after="0" w:line="2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indentures, supplemental indentures and credit agreements governing our long-term debt to third parties, excluding financing leases, contain covenants that, among other things, limit the ability of the Issuers or borrowers and the Guarantor Subsidiaries to incur more debt, create liens or other encumbrances and merge, consolidate or sell, or otherwise dispose of, substantially all of their assets. We were in compliance with all restrictive debt covenants as of September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Lease Facilities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uncommitted financing lease facilities with certain third parties that provide us with the ability to enter into financing leases for network equipment and services. We expect to enter into up to a total of $1.2 billion in financing lease commitments during the year ending December 31, 2026. As of September 30, 2026, we have entered into $12.1 billion of financing leases under these financing lease facilities, of which $326 million and $1.0 billion were executed during the three and nine months ended September 30, 2026, respectively.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capital liquidity requirements have been driven primarily by capital expenditures for spectrum licenses, the construction, expansion and upgrading of our network infrastructure, the integration of the networks, spectrum, technology, personnel and customer base of T-Mobile and UScellular and investments in information technology platforms. We expect to maintain our investment in capital expenditures related to these efforts in 2026 compared to 2025, as we continue our integration efforts, maintain our commitment to build out our nationwide 5G network and continue our digital journey. Future capital expenditure requirements will be primarily driven by the deployment of acquired spectrum licenses.</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our spectrum licenses, see </w:t>
      </w:r>
      <w:r>
        <w:rPr>
          <w:rFonts w:ascii="Times New Roman" w:cs="Times New Roman" w:eastAsia="Times New Roman" w:hAnsi="Times New Roman"/>
          <w:sz w:val="18"/>
          <w:szCs w:val="18"/>
          <w:u w:val="single" w:color="auto"/>
          <w:color w:val="0000FF"/>
        </w:rPr>
        <w:t>Note 6 – Spectrum License Transactions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Returns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December 11, 2025, we announced that our Board of Directors authorized our 2026 Stockholder Return Program of up to $14.6 billion that will run through December 31, 2026 (the “2026 Stockholder Return Program”). On April 23, 2026, we announced that our Board of Directors increased the 2026 Stockholder Return Program authorization to up to $18.2 billion. The 2026 Stockholder Return Program consists of repurchases of shares of our common stock and the payment of cash dividends. The declaration and payment of all dividends is subject to the discretion of our Board of Directors and will depend on financial and legal requirements and other considerations. The amount available under the 2026 Stockholder Return Program for share repurchases will be reduced by the amount of any cash dividends declared and paid by us.</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2026 Stockholder Return Program aligns with our commitment to a balanced capital allocation strategy that supports core and strategic investments in the business while delivering returns to stockholders. From January 1, 2026, through the end of 2027, the Company expects its business plan to support:</w:t>
      </w:r>
    </w:p>
    <w:p>
      <w:pPr>
        <w:spacing w:after="0" w:line="18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approximately $30.0 billion for share repurchases and cash dividends, which includes the 2026 Stockholder Return Program; and</w:t>
      </w:r>
    </w:p>
    <w:p>
      <w:pPr>
        <w:spacing w:after="0" w:line="63"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$22.0 billion in a discretionary and flexible envelope for opportunistic deployment, which may include de-levering, investments in our core business, strategic investments, and/or additional capital returns to stockholders beyond the $30.0 billion allocation.</w:t>
      </w:r>
    </w:p>
    <w:p>
      <w:pPr>
        <w:spacing w:after="0" w:line="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figures represent initial allocations subject to change based on changes in opportunities and our views on deleveraging, investments in our core business and strategic investment opportunities.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4, 2025, our Board of Directors declared a cash dividend of $1.02 per share on our issued and outstanding common stock, which was paid on March 12, 2026, to stockholders of record as of the close of business on February 27, 2026.</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March 19, 2026, our Board of Directors declared a cash dividend of $1.02 per share on our issued and outstanding common stock, which was paid on June 11, 2026, to stockholders of record as of the close of business on May 29, 2026.</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June 15, 2026, our Board of Directors declared a cash dividend of $1.02 per share on our issued and outstanding common stock, which was paid on September 10, 2026, to stockholders of record as of the close of business on August 28, 2026.</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September 24, 2026, our Board of Directors declared a cash dividend of $1.17 per share on our issued and outstanding common stock, which will be paid on December 10, 2026, to stockholders of record as of the close of business on November 25, 2026.</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paid an aggregate of $1.1 billion and $3.3 billion, respectively, in cash dividends to our stockholders, which are presented within Net cash used in financing activities on our Condensed Consolidated Statements of Cash Flows. As of September 30, 2026, $1.2 billion for dividends payable is presented within Other current liabilities on our Condensed Consolidated Balance Sheets.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13,621,695 shares of our common stock at an average price per share of $177.31 for a total purchase price of $2.4 billion, and during the nine months ended September 30, 2026, we repurchased 48,372,465 shares of our common stock at an average price per share of $195.81 for a total purchase price of $9.5 billion, under the 2026 Stockholder Return Program. As of September 30, 2026, we had up to $5.4 billion remaining under the 2026 Stockholder Return Program for repurchases of shares and quarterly dividends through December 31, 2026.</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Subsequent to September 30, 2026, from October 1, 2026, through October 23, 2026, we repurchased 4,987,500 shares of our common stock at an average price per share of $158.68 for a total purchase price of $791 million under the 2026 Stockholder Return Program. As of October 23, 2026, we had up to $4.6 billion remaining under the 2026 Stockholder Return Program for repurchases of shares and quarterly dividends through December 31, 2026.</w:t>
      </w:r>
    </w:p>
    <w:p>
      <w:pPr>
        <w:spacing w:after="0" w:line="20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regarding the 2026 Stockholder Return Program, see </w:t>
      </w:r>
      <w:r>
        <w:rPr>
          <w:rFonts w:ascii="Times New Roman" w:cs="Times New Roman" w:eastAsia="Times New Roman" w:hAnsi="Times New Roman"/>
          <w:sz w:val="18"/>
          <w:szCs w:val="18"/>
          <w:u w:val="single" w:color="auto"/>
          <w:color w:val="0000FF"/>
        </w:rPr>
        <w:t>Note 12 – Stockholder Return Program</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related person transactions associated with DT or its respective affiliates in the ordinary course of business, including intercompany servicing and licensing.</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October 23, 2026, DT held, directly or indirectly, approximately 55.0% of the outstanding T-Mobile common stock. As a result of the Proxy, Lock-Up and ROFR Agreement, dated April 1, 2020, by and between DT and SoftBank Group Corp., DT has voting control, as of October 23, 2026, over approximately 55.9% of the outstanding T-Mobile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Iranian Activities under Section 13(r) of the Exchange Act</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Section 219 of the Iran Threat Reduction and Syria Human Rights Act of 2012 added Section 13(r) to the Exchange Act. Section 13(r) requires an issuer to disclose in its annual or quarterly reports, as applicable, whether it or any of its affiliates knowingly engaged in certain activities, transactions or dealings relating to Iran or with designated natural persons or entities involved in terrorism or the proliferation of weapons of mass destruction. Disclosure is required even where the activities, transactions or dealings are conducted outside the U.S. by non-U.S. affiliates in compliance with applicable law, and whether or not the activities are sanctionable under U.S. law.</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are not aware of any activity, transaction or dealing by us or any of our affiliates for the three months ended September 30, 2026, that requires disclosure in this report under Section 13(r) of the Exchange Act, except as set forth below with respect to affiliates or former affiliates that we do not control and that are our affiliates or former affiliates solely due to their common control with DT. We have relied upon DT for information regarding their respective activities, transactions and dealings.</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DT, through certain of its non-U.S. subsidiaries, is party to roaming and interconnect agreements with the following mobile and fixed line telecommunication providers in Iran, some of which are or may be government-controlled entities: Irancell Telecommunications Services Company, Telecommunication Kish Company, Mobile Telecommunication Company of Iran and Telecommunication Infrastructure Company of Iran. In addition, during the three months ended September 30, 2026, DT, through certain of its non-U.S. subsidiaries, provided basic telecommunications services to four customers in Germany identified on the Specially Designated Nationals and Blocked Persons List maintained by the U.S. Department of the Treasury’s Office of Foreign Assets Control: CPG Engineering &amp; Commercial Services GmbH, Golgohar Trade and Technology GmbH, International Trade and Industrial Technology ITRITEC GmbH and Kara Industrial Trading GmbH. These services are in the process of being terminated, in particular by undertaking appropriate legal steps before German courts. For the three months ended September 30, 2026, gross revenues of all DT affiliates generated by roaming and interconnection traffic and telecommunications services with the Iranian parties identified herein were less than $0.1 million, and the estimated net profits were less than $0.1 million.</w:t>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DT, through certain of its non-U.S. subsidiaries that operate a fixed-line network in their respective European home countries (in particular, Germany), provides telecommunications services in the ordinary course of business to the Embassy of Iran in those European countries. Gross revenues and net profits recorded from these activities for the three months ended September 30, 2026, were less than $0.1 million. We understand that DT intends to continue these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Preparation of our condensed consolidated financial statements in accordance with GAAP requires us to make estimates and assumptions that affect the reported amounts of certain assets, liabilities, revenues and expenses, as well as related disclosure of contingent assets and liabilities. There have been no material changes to the critical accounting policies and estimates as previously disclosed in Part II, Item 7 and Part II, Item 8 of our Annual Report on Form 10-K for the year ended December 31, 2025, and which are hereby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regarding recently issued accounting standards, see </w:t>
      </w:r>
      <w:r>
        <w:rPr>
          <w:rFonts w:ascii="Times New Roman" w:cs="Times New Roman" w:eastAsia="Times New Roman" w:hAnsi="Times New Roman"/>
          <w:sz w:val="18"/>
          <w:szCs w:val="18"/>
          <w:u w:val="single" w:color="auto"/>
          <w:color w:val="0000FF"/>
        </w:rPr>
        <w:t>Note 1 – Summary of Significant Accounting Policies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exposed to economic risks in the normal course of business, primarily from changes in interest rates, including changes in investment yields and changes in spreads due to credit risk, foreign currency exchange rate fluctuations and other factors. These risks, along with other business risks, impact our cost of capital. Our policy is to manage exposure related to fluctuations in interest rates in order to manage capital costs, control financial risks and maintain financial flexibility over the long term. We have established interest rate risk limits that are closely monitored by measuring interest rate sensitivities of our debt portfolio. As of September 30, 2026, we have €7.3 billion outstanding in EUR-denominated Senior Notes, which are subject to foreign currency exchange rate fluctuations. We have entered into cross-currency swap agreements that qualify and have been designated as fair value hedges of our EUR-denominated debt, mitigating our exposure to foreign currency transaction gains and losses. We do not foresee significant changes in the strategies used to manage market risk in the near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information required to be disclosed in our periodic reports filed or submitted under the Exchange Act is recorded, processed, summarized and reported within the time periods specified in the SEC’s rules and forms. Our disclosure controls include the use of a Disclosure Committee that comprises representatives from our Accounting, Legal, Treasury, Technology, Risk Management, Government Affairs and Investor Relations functions and are designed to ensure that information required to be disclosed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carried out an evaluation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were effective, as of the end of the period covered by this Form 10-Q.</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The certifications required by Section 302 of the Sarbanes-Oxley Act of 2002 (the “Sarbanes-Oxley Act”) are filed as Exhibits </w:t>
      </w: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auto"/>
        </w:rPr>
        <w:t xml:space="preserve"> to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materially affected, or are reasonably likely to materially affect, our internal control over financial reporting.</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second quarter of 2025, we began implementation of a new global enterprise resource planning (“ERP”) system. The implementation is expected to occur in phases over the next several years and will replace many of our operating and financial systems. The ERP system is designed to accurately maintain our financial records, support integrated billing, supply chain and other operational functionality, facilitate data analysis and accelerate information reporting to our management team related to the operation of the business.</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the phased implementation of the new ERP system continues, we could have changes to our processes and procedures which, in turn, could result in changes to our internal control over financial reporting. As such changes occur, we will evaluate quarterly whether such changes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the legal proceedings in which we are involved, see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auto"/>
        </w:rPr>
        <w:t xml:space="preserve">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than the updated risk factor below, there have been no material changes in our risk factors as previously disclosed in Part I, Item 1A of our Annual Report on Form 10-K for the year ended December 31, 2025.</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have experienced cyberattacks and may experience disruptions, data loss and other security breaches, whether directly or indirectly through third parties whose products and services we rely on in operating our business.</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involves the receipt, storage, and transmission of confidential information about our customers, such as sensitive personal, account, and payment information, confidential information about our employees and suppliers, and other sensitive information about our Company, such as our business plans, transactions, financial information, and intellectual property (collectively, “Confidential Information”). Additionally, to offer services to our customers and operate our business, we utilize several applications and systems, including those we own and operate, such as our wireless network, as well as others provided to us by third parties, such as cloud service providers and SaaS companies (collectively, “Systems”).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subject to persistent cyberattacks and threats to our business from bad actors seeking to gain unauthorized access to Confidential Information and to compromise Systems. They are perpetrated by a variety of groups and persons, including nation state-sponsored parties, malicious actors, employees, contractors, and other third parties. Some of these bad actors reside in jurisdictions where law enforcement measures to address such attacks are ineffective or unavailable.</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Cyberattacks against companies like ours are increasing in frequency and scope of potential harm over time, and the methods used to gain unauthorized access constantly evolve, making it increasingly difficult to anticipate, prevent, and detect incidents successfully in every instance. In some cases, these bad actors exploit bugs, errors, misconfigurations or other vulnerabilities in our Systems to obtain Confidential Information. In other cases, these bad actors obtain unauthorized access to Confidential Information by exploiting insider access or utilizing login credentials taken from our customers, employees, or third-party providers through credential harvesting, social engineering or other means. Other bad actors aim to cause serious operational disruptions to our business and Systems through ransomware or distributed denial of service attacks. Moreover, the amount and scope of insurance that we maintain against losses resulting from any such incidents or security breaches may not be sufficient to cover our losses or otherwise adequately compensate us for any disruptions to our business that may result.</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we regularly work to identify, track, and remedy security vulnerabilities, given the complex nature of our Systems and the tools that are available to us, we may be unable to identify vulnerabilities in a timely manner, or to apply patches or compensating measures that address such vulnerabilities, before bad actors can exploit them. The exploitation of a security vulnerability before patches or measures are applied could materially compromise Confidential Information and Systems.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routinely rely upon third-party providers whose products and services are used in our business. These third-party providers have experienced, and will continue to experience, cyberattacks that involve attempts to access our Confidential Information and/or to create operational risk that could materially and adversely affect our business, and these providers also face other security challenges common to all parties that collect and process information. Additionally, our Systems include components from third parties or fourth parties we do not control and may have compromises, defects, flaws, or design errors unknown to us.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previously disclosed cyberattacks in August 2021 and January 2023, we incurred significant costs in connection with, among other things, responding to and resolving mass arbitration claims, multiple class action lawsuits, and an FCC investigation. For more information on the foregoing, see “– Contingencies and Litigation – Litigation and Regulatory Matters” in </w:t>
      </w:r>
      <w:r>
        <w:rPr>
          <w:rFonts w:ascii="Times New Roman" w:cs="Times New Roman" w:eastAsia="Times New Roman" w:hAnsi="Times New Roman"/>
          <w:sz w:val="18"/>
          <w:szCs w:val="18"/>
          <w:u w:val="single" w:color="auto"/>
          <w:color w:val="0000FF"/>
        </w:rPr>
        <w:t>Note 14 – Commitments and Contingencies</w:t>
      </w:r>
      <w:r>
        <w:rPr>
          <w:rFonts w:ascii="Times New Roman" w:cs="Times New Roman" w:eastAsia="Times New Roman" w:hAnsi="Times New Roman"/>
          <w:sz w:val="18"/>
          <w:szCs w:val="18"/>
          <w:color w:val="auto"/>
        </w:rPr>
        <w:t xml:space="preserve"> of the Notes to the Condensed Consolidated Financial Statements.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to the August 2021 cyberattack and the January 2023 cyberattack, we have experienced unrelated, non-material incidents involving unauthorized access to certain Confidential Information and Systems. Typically, these incidents have involved attempts to commit fraud by taking control of a customer’s phone line, often by exploiting insider access or using compromised credentials. In other cases, the incidents have involved unauthorized access to certain of our customers’ private information, including payment information, financial data, Social Security numbers or passwords, and our intellectual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property. Some of these incidents have occurred at third-party providers, including third parties who provide us with various Systems and others who sell our products and services through retail locations or take care of our customers.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procedures and safeguards to prevent unauthorized access to Confidential Information and to defend against cyberattacks seeking to disrupt our operations must be continually evaluated and enhanced to address the ever-evolving threat landscape and changing cybersecurity regulations, including while we adapt complex digital efforts. These preventative actions require the investment of significant resources and management time and attention. Additionally, we do not have control of the cybersecurity systems, breach prevention, and response protocols of our third-party providers, including through our cybersecurity programs or policies. While T-Mobile may have contractual rights to assess the effectiveness of many of our providers’ systems and protocols, we do not have the means to always know or assess the effectiveness of all of our providers’ systems and controls. We cannot provide any assurances that actions taken by us, or our third-party providers, including through our cybersecurity programs or policies, will adequately repel a significant cyberattack or prevent or substantially mitigate the impacts of cybersecurity breaches or misuses of Confidential Information, unauthorized access to our networks or Systems or exploits against third-party environments, or that we, or our third-party providers, will be able to effectively identify, investigate, and remediate such incidents in a timely manner or at all. We expect to continue to be the target of cyberattacks, given the nature of our business, and we expect the same with respect to our third-party providers. We expect threat actors to continue to increase in sophistication, including through the use of increasingly advanced AI tools, which may accelerate the identification and exploitation of vulnerabilities, enable evasion of security controls, and reduce the time between discovery and attempted exploitation. Although AI may also enhance defensive capabilities, the pace at which vulnerabilities can be identified and weaponized may outstrip our ability, and that of our third-party providers, to test and deploy patches or other mitigating measures across complex systems. Efforts to accelerate remediation may also increase the risk of operational disruptions or system instability, and the continued development and integration of AI may introduce new and evolving cybersecurity risks. These dynamics may heighten our exposure to cybersecurity incidents and related adverse impacts on our business, reputation, financial condition, and operating results. In addition, we have acquired and continue to acquire companies with cybersecurity vulnerabilities or unsophisticated security measures, which expose us to significant cybersecurity, operational, and financial risks. If we fail to protect Confidential Information or to prevent operational disruptions from future cyberattacks, there may be a material adverse effect on our business, reputation, financial condition, cash flows, and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our share repurchases during the three months ended September 30, 2026: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960" w:type="dxa"/>
            <w:vAlign w:val="bottom"/>
            <w:shd w:val="clear" w:color="auto" w:fill="E20074"/>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shd w:val="clear" w:color="auto" w:fill="E20074"/>
          </w:tcPr>
          <w:p>
            <w:pPr>
              <w:spacing w:after="0"/>
              <w:rPr>
                <w:sz w:val="13"/>
                <w:szCs w:val="13"/>
                <w:color w:val="auto"/>
              </w:rPr>
            </w:pPr>
          </w:p>
        </w:tc>
        <w:tc>
          <w:tcPr>
            <w:tcW w:w="1160" w:type="dxa"/>
            <w:vAlign w:val="bottom"/>
            <w:shd w:val="clear" w:color="auto" w:fill="E20074"/>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vMerge w:val="restart"/>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Total Number of Shares</w:t>
            </w:r>
          </w:p>
        </w:tc>
        <w:tc>
          <w:tcPr>
            <w:tcW w:w="100" w:type="dxa"/>
            <w:vAlign w:val="bottom"/>
          </w:tcPr>
          <w:p>
            <w:pPr>
              <w:spacing w:after="0"/>
              <w:rPr>
                <w:sz w:val="13"/>
                <w:szCs w:val="13"/>
                <w:color w:val="auto"/>
              </w:rPr>
            </w:pPr>
          </w:p>
        </w:tc>
        <w:tc>
          <w:tcPr>
            <w:tcW w:w="100" w:type="dxa"/>
            <w:vAlign w:val="bottom"/>
            <w:shd w:val="clear" w:color="auto" w:fill="E20074"/>
          </w:tcPr>
          <w:p>
            <w:pPr>
              <w:spacing w:after="0"/>
              <w:rPr>
                <w:sz w:val="13"/>
                <w:szCs w:val="13"/>
                <w:color w:val="auto"/>
              </w:rPr>
            </w:pPr>
          </w:p>
        </w:tc>
        <w:tc>
          <w:tcPr>
            <w:tcW w:w="1860" w:type="dxa"/>
            <w:vAlign w:val="bottom"/>
            <w:shd w:val="clear" w:color="auto" w:fill="E20074"/>
          </w:tcPr>
          <w:p>
            <w:pPr>
              <w:jc w:val="center"/>
              <w:ind w:right="8"/>
              <w:spacing w:after="0"/>
              <w:rPr>
                <w:sz w:val="20"/>
                <w:szCs w:val="20"/>
                <w:color w:val="auto"/>
              </w:rPr>
            </w:pPr>
            <w:r>
              <w:rPr>
                <w:rFonts w:ascii="Times New Roman" w:cs="Times New Roman" w:eastAsia="Times New Roman" w:hAnsi="Times New Roman"/>
                <w:sz w:val="14"/>
                <w:szCs w:val="14"/>
                <w:b w:val="1"/>
                <w:bCs w:val="1"/>
                <w:color w:val="FFFFFF"/>
              </w:rPr>
              <w:t>Approximate Dollar Value of</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960" w:type="dxa"/>
            <w:vAlign w:val="bottom"/>
            <w:vMerge w:val="restart"/>
            <w:shd w:val="clear" w:color="auto" w:fill="E20074"/>
          </w:tcPr>
          <w:p>
            <w:pPr>
              <w:jc w:val="right"/>
              <w:ind w:right="168"/>
              <w:spacing w:after="0"/>
              <w:rPr>
                <w:sz w:val="20"/>
                <w:szCs w:val="20"/>
                <w:color w:val="auto"/>
              </w:rPr>
            </w:pPr>
            <w:r>
              <w:rPr>
                <w:rFonts w:ascii="Times New Roman" w:cs="Times New Roman" w:eastAsia="Times New Roman" w:hAnsi="Times New Roman"/>
                <w:sz w:val="14"/>
                <w:szCs w:val="14"/>
                <w:b w:val="1"/>
                <w:bCs w:val="1"/>
                <w:color w:val="FFFFFF"/>
              </w:rPr>
              <w:t>Total Number of Shares</w:t>
            </w:r>
          </w:p>
        </w:tc>
        <w:tc>
          <w:tcPr>
            <w:tcW w:w="100" w:type="dxa"/>
            <w:vAlign w:val="bottom"/>
          </w:tcPr>
          <w:p>
            <w:pPr>
              <w:spacing w:after="0"/>
              <w:rPr>
                <w:sz w:val="12"/>
                <w:szCs w:val="12"/>
                <w:color w:val="auto"/>
              </w:rPr>
            </w:pPr>
          </w:p>
        </w:tc>
        <w:tc>
          <w:tcPr>
            <w:tcW w:w="780" w:type="dxa"/>
            <w:vAlign w:val="bottom"/>
            <w:shd w:val="clear" w:color="auto" w:fill="E20074"/>
          </w:tcPr>
          <w:p>
            <w:pPr>
              <w:spacing w:after="0"/>
              <w:rPr>
                <w:sz w:val="12"/>
                <w:szCs w:val="12"/>
                <w:color w:val="auto"/>
              </w:rPr>
            </w:pPr>
          </w:p>
        </w:tc>
        <w:tc>
          <w:tcPr>
            <w:tcW w:w="1160" w:type="dxa"/>
            <w:vAlign w:val="bottom"/>
            <w:shd w:val="clear" w:color="auto" w:fill="E20074"/>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continue"/>
            <w:shd w:val="clear" w:color="auto" w:fill="E20074"/>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E20074"/>
          </w:tcPr>
          <w:p>
            <w:pPr>
              <w:spacing w:after="0"/>
              <w:rPr>
                <w:sz w:val="12"/>
                <w:szCs w:val="12"/>
                <w:color w:val="auto"/>
              </w:rPr>
            </w:pPr>
          </w:p>
        </w:tc>
        <w:tc>
          <w:tcPr>
            <w:tcW w:w="1860" w:type="dxa"/>
            <w:vAlign w:val="bottom"/>
            <w:shd w:val="clear" w:color="auto" w:fill="E20074"/>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FFFFFF"/>
              </w:rPr>
              <w:t>Shares that may yet be</w:t>
            </w:r>
          </w:p>
        </w:tc>
        <w:tc>
          <w:tcPr>
            <w:tcW w:w="0" w:type="dxa"/>
            <w:vAlign w:val="bottom"/>
          </w:tcPr>
          <w:p>
            <w:pPr>
              <w:spacing w:after="0"/>
              <w:rPr>
                <w:sz w:val="1"/>
                <w:szCs w:val="1"/>
                <w:color w:val="auto"/>
              </w:rPr>
            </w:pPr>
          </w:p>
        </w:tc>
      </w:tr>
      <w:tr>
        <w:trPr>
          <w:trHeight w:val="14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1960" w:type="dxa"/>
            <w:vAlign w:val="bottom"/>
            <w:vMerge w:val="continue"/>
            <w:shd w:val="clear" w:color="auto" w:fill="E20074"/>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restart"/>
            <w:shd w:val="clear" w:color="auto" w:fill="E20074"/>
          </w:tcPr>
          <w:p>
            <w:pPr>
              <w:jc w:val="right"/>
              <w:spacing w:after="0"/>
              <w:rPr>
                <w:sz w:val="20"/>
                <w:szCs w:val="20"/>
                <w:color w:val="auto"/>
              </w:rPr>
            </w:pPr>
            <w:r>
              <w:rPr>
                <w:rFonts w:ascii="Times New Roman" w:cs="Times New Roman" w:eastAsia="Times New Roman" w:hAnsi="Times New Roman"/>
                <w:sz w:val="14"/>
                <w:szCs w:val="14"/>
                <w:b w:val="1"/>
                <w:bCs w:val="1"/>
                <w:color w:val="FFFFFF"/>
              </w:rPr>
              <w:t>Average Price Paid per Share</w:t>
            </w:r>
          </w:p>
        </w:tc>
        <w:tc>
          <w:tcPr>
            <w:tcW w:w="120" w:type="dxa"/>
            <w:vAlign w:val="bottom"/>
          </w:tcPr>
          <w:p>
            <w:pPr>
              <w:spacing w:after="0"/>
              <w:rPr>
                <w:sz w:val="12"/>
                <w:szCs w:val="12"/>
                <w:color w:val="auto"/>
              </w:rPr>
            </w:pPr>
          </w:p>
        </w:tc>
        <w:tc>
          <w:tcPr>
            <w:tcW w:w="1940" w:type="dxa"/>
            <w:vAlign w:val="bottom"/>
            <w:shd w:val="clear" w:color="auto" w:fill="E2007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Purchased as Part of Publicly</w:t>
            </w:r>
          </w:p>
        </w:tc>
        <w:tc>
          <w:tcPr>
            <w:tcW w:w="100" w:type="dxa"/>
            <w:vAlign w:val="bottom"/>
          </w:tcPr>
          <w:p>
            <w:pPr>
              <w:spacing w:after="0"/>
              <w:rPr>
                <w:sz w:val="12"/>
                <w:szCs w:val="12"/>
                <w:color w:val="auto"/>
              </w:rPr>
            </w:pPr>
          </w:p>
        </w:tc>
        <w:tc>
          <w:tcPr>
            <w:tcW w:w="1960" w:type="dxa"/>
            <w:vAlign w:val="bottom"/>
            <w:gridSpan w:val="2"/>
            <w:shd w:val="clear" w:color="auto" w:fill="E2007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FFFFFF"/>
              </w:rPr>
              <w:t>Purchased Under the Plans or</w:t>
            </w: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1960" w:type="dxa"/>
            <w:vAlign w:val="bottom"/>
            <w:shd w:val="clear" w:color="auto" w:fill="E20074"/>
          </w:tcPr>
          <w:p>
            <w:pPr>
              <w:jc w:val="right"/>
              <w:ind w:right="588"/>
              <w:spacing w:after="0"/>
              <w:rPr>
                <w:sz w:val="20"/>
                <w:szCs w:val="20"/>
                <w:color w:val="auto"/>
              </w:rPr>
            </w:pPr>
            <w:r>
              <w:rPr>
                <w:rFonts w:ascii="Times New Roman" w:cs="Times New Roman" w:eastAsia="Times New Roman" w:hAnsi="Times New Roman"/>
                <w:sz w:val="14"/>
                <w:szCs w:val="14"/>
                <w:b w:val="1"/>
                <w:bCs w:val="1"/>
                <w:color w:val="FFFFFF"/>
              </w:rPr>
              <w:t>Purchased</w:t>
            </w:r>
          </w:p>
        </w:tc>
        <w:tc>
          <w:tcPr>
            <w:tcW w:w="100" w:type="dxa"/>
            <w:vAlign w:val="bottom"/>
          </w:tcPr>
          <w:p>
            <w:pPr>
              <w:spacing w:after="0"/>
              <w:rPr>
                <w:sz w:val="17"/>
                <w:szCs w:val="17"/>
                <w:color w:val="auto"/>
              </w:rPr>
            </w:pPr>
          </w:p>
        </w:tc>
        <w:tc>
          <w:tcPr>
            <w:tcW w:w="1940" w:type="dxa"/>
            <w:vAlign w:val="bottom"/>
            <w:gridSpan w:val="2"/>
            <w:vMerge w:val="continue"/>
            <w:shd w:val="clear" w:color="auto" w:fill="E20074"/>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Announced Plans or Programs</w:t>
            </w:r>
          </w:p>
        </w:tc>
        <w:tc>
          <w:tcPr>
            <w:tcW w:w="100" w:type="dxa"/>
            <w:vAlign w:val="bottom"/>
          </w:tcPr>
          <w:p>
            <w:pPr>
              <w:spacing w:after="0"/>
              <w:rPr>
                <w:sz w:val="17"/>
                <w:szCs w:val="17"/>
                <w:color w:val="auto"/>
              </w:rPr>
            </w:pPr>
          </w:p>
        </w:tc>
        <w:tc>
          <w:tcPr>
            <w:tcW w:w="100" w:type="dxa"/>
            <w:vAlign w:val="bottom"/>
            <w:shd w:val="clear" w:color="auto" w:fill="E20074"/>
          </w:tcPr>
          <w:p>
            <w:pPr>
              <w:spacing w:after="0"/>
              <w:rPr>
                <w:sz w:val="17"/>
                <w:szCs w:val="17"/>
                <w:color w:val="auto"/>
              </w:rPr>
            </w:pPr>
          </w:p>
        </w:tc>
        <w:tc>
          <w:tcPr>
            <w:tcW w:w="1860" w:type="dxa"/>
            <w:vAlign w:val="bottom"/>
            <w:shd w:val="clear" w:color="auto" w:fill="E20074"/>
          </w:tcPr>
          <w:p>
            <w:pPr>
              <w:jc w:val="center"/>
              <w:ind w:right="28"/>
              <w:spacing w:after="0" w:line="202" w:lineRule="exact"/>
              <w:rPr>
                <w:sz w:val="20"/>
                <w:szCs w:val="20"/>
                <w:color w:val="auto"/>
              </w:rPr>
            </w:pPr>
            <w:r>
              <w:rPr>
                <w:rFonts w:ascii="Times New Roman" w:cs="Times New Roman" w:eastAsia="Times New Roman" w:hAnsi="Times New Roman"/>
                <w:sz w:val="14"/>
                <w:szCs w:val="14"/>
                <w:b w:val="1"/>
                <w:bCs w:val="1"/>
                <w:color w:val="FFFFFF"/>
                <w:w w:val="99"/>
              </w:rPr>
              <w:t xml:space="preserve">Programs </w:t>
            </w:r>
            <w:r>
              <w:rPr>
                <w:rFonts w:ascii="Times New Roman" w:cs="Times New Roman" w:eastAsia="Times New Roman" w:hAnsi="Times New Roman"/>
                <w:sz w:val="18"/>
                <w:szCs w:val="18"/>
                <w:b w:val="1"/>
                <w:bCs w:val="1"/>
                <w:color w:val="FFFFFF"/>
                <w:w w:val="99"/>
                <w:vertAlign w:val="superscript"/>
              </w:rPr>
              <w:t>(1)</w:t>
            </w:r>
          </w:p>
        </w:tc>
        <w:tc>
          <w:tcPr>
            <w:tcW w:w="0" w:type="dxa"/>
            <w:vAlign w:val="bottom"/>
          </w:tcPr>
          <w:p>
            <w:pPr>
              <w:spacing w:after="0"/>
              <w:rPr>
                <w:sz w:val="1"/>
                <w:szCs w:val="1"/>
                <w:color w:val="auto"/>
              </w:rPr>
            </w:pPr>
          </w:p>
        </w:tc>
      </w:tr>
      <w:tr>
        <w:trPr>
          <w:trHeight w:val="210"/>
        </w:trPr>
        <w:tc>
          <w:tcPr>
            <w:tcW w:w="31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July 1, 2026 - July 31, 2026</w:t>
            </w:r>
          </w:p>
        </w:tc>
        <w:tc>
          <w:tcPr>
            <w:tcW w:w="19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3,892,974</w:t>
            </w:r>
          </w:p>
        </w:tc>
        <w:tc>
          <w:tcPr>
            <w:tcW w:w="880" w:type="dxa"/>
            <w:vAlign w:val="bottom"/>
            <w:tcBorders>
              <w:bottom w:val="single" w:sz="8" w:color="DDDDDD"/>
            </w:tcBorders>
            <w:gridSpan w:val="2"/>
            <w:shd w:val="clear" w:color="auto" w:fill="DDDDDD"/>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181.82</w:t>
            </w:r>
          </w:p>
        </w:tc>
        <w:tc>
          <w:tcPr>
            <w:tcW w:w="206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3,892,974</w:t>
            </w:r>
          </w:p>
        </w:tc>
        <w:tc>
          <w:tcPr>
            <w:tcW w:w="20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8,228</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 2026 - August 31, 2026</w:t>
            </w:r>
          </w:p>
        </w:tc>
        <w:tc>
          <w:tcPr>
            <w:tcW w:w="1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4,676,321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179.28</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4,676,321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7,390</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tcBorders>
              <w:bottom w:val="single" w:sz="8" w:color="DDDDDD"/>
            </w:tcBorders>
            <w:shd w:val="clear" w:color="auto" w:fill="DDDDDD"/>
          </w:tcPr>
          <w:p>
            <w:pPr>
              <w:ind w:left="20"/>
              <w:spacing w:after="0"/>
              <w:rPr>
                <w:sz w:val="20"/>
                <w:szCs w:val="20"/>
                <w:color w:val="auto"/>
              </w:rPr>
            </w:pPr>
            <w:r>
              <w:rPr>
                <w:rFonts w:ascii="Times New Roman" w:cs="Times New Roman" w:eastAsia="Times New Roman" w:hAnsi="Times New Roman"/>
                <w:sz w:val="14"/>
                <w:szCs w:val="14"/>
                <w:color w:val="auto"/>
              </w:rPr>
              <w:t>September 1, 2026 - September 30, 2026</w:t>
            </w:r>
          </w:p>
        </w:tc>
        <w:tc>
          <w:tcPr>
            <w:tcW w:w="19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5,052,400</w:t>
            </w:r>
          </w:p>
        </w:tc>
        <w:tc>
          <w:tcPr>
            <w:tcW w:w="100" w:type="dxa"/>
            <w:vAlign w:val="bottom"/>
            <w:tcBorders>
              <w:bottom w:val="single" w:sz="8" w:color="DDDDDD"/>
            </w:tcBorders>
            <w:shd w:val="clear" w:color="auto" w:fill="DDDDDD"/>
          </w:tcPr>
          <w:p>
            <w:pPr>
              <w:spacing w:after="0"/>
              <w:rPr>
                <w:sz w:val="18"/>
                <w:szCs w:val="18"/>
                <w:color w:val="auto"/>
              </w:rPr>
            </w:pPr>
          </w:p>
        </w:tc>
        <w:tc>
          <w:tcPr>
            <w:tcW w:w="780" w:type="dxa"/>
            <w:vAlign w:val="bottom"/>
            <w:tcBorders>
              <w:bottom w:val="single" w:sz="8" w:color="DDDDDD"/>
            </w:tcBorders>
            <w:shd w:val="clear" w:color="auto" w:fill="DDDDDD"/>
          </w:tcPr>
          <w:p>
            <w:pPr>
              <w:spacing w:after="0"/>
              <w:rPr>
                <w:sz w:val="18"/>
                <w:szCs w:val="18"/>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172.01</w:t>
            </w:r>
          </w:p>
        </w:tc>
        <w:tc>
          <w:tcPr>
            <w:tcW w:w="206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5,052,400</w:t>
            </w:r>
          </w:p>
        </w:tc>
        <w:tc>
          <w:tcPr>
            <w:tcW w:w="1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0" w:type="dxa"/>
            <w:vAlign w:val="bottom"/>
          </w:tcPr>
          <w:p>
            <w:pPr>
              <w:spacing w:after="0"/>
              <w:rPr>
                <w:sz w:val="1"/>
                <w:szCs w:val="1"/>
                <w:color w:val="auto"/>
              </w:rPr>
            </w:pPr>
          </w:p>
        </w:tc>
      </w:tr>
      <w:tr>
        <w:trPr>
          <w:trHeight w:val="217"/>
        </w:trPr>
        <w:tc>
          <w:tcPr>
            <w:tcW w:w="3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13,621,695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13,621,695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ind w:left="340" w:right="100" w:hanging="332"/>
        <w:spacing w:after="0" w:line="268" w:lineRule="auto"/>
        <w:tabs>
          <w:tab w:leader="none" w:pos="32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11, 2025, we announced that our Board of Directors authorized a stockholder return program for up to $14.6 billion that will run through December 31, 2026. On April 23, 2026, we announced that our Board of Directors increased the 2026 Stockholder Return Program authorization to up to $18.2 billion. The amounts presented represent the remaining dollar amount authorized for purchase under the 2026 Stockholder Return Program, as applicable, as of the end of the period, which has been reduced by the amount of any cash dividends declared and paid by the Company.</w:t>
      </w:r>
    </w:p>
    <w:p>
      <w:pPr>
        <w:spacing w:after="0" w:line="2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12 – Stockholder Return Program</w:t>
      </w:r>
      <w:r>
        <w:rPr>
          <w:rFonts w:ascii="Times New Roman" w:cs="Times New Roman" w:eastAsia="Times New Roman" w:hAnsi="Times New Roman"/>
          <w:sz w:val="18"/>
          <w:szCs w:val="18"/>
          <w:color w:val="auto"/>
        </w:rPr>
        <w:t xml:space="preserve"> of the Notes to the Condensed Consolidated Financial Statements for more information about our 2026 Stockholder Return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adopted, modified, or terminated any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15175" cy="3860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15175" cy="38608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0" w:type="dxa"/>
            <w:vAlign w:val="bottom"/>
            <w:shd w:val="clear" w:color="auto" w:fill="E20074"/>
          </w:tcPr>
          <w:p>
            <w:pPr>
              <w:spacing w:after="0"/>
              <w:rPr>
                <w:sz w:val="19"/>
                <w:szCs w:val="19"/>
                <w:color w:val="auto"/>
              </w:rPr>
            </w:pPr>
          </w:p>
        </w:tc>
        <w:tc>
          <w:tcPr>
            <w:tcW w:w="140" w:type="dxa"/>
            <w:vAlign w:val="bottom"/>
            <w:tcBorders>
              <w:right w:val="single" w:sz="8" w:color="E20074"/>
            </w:tcBorders>
          </w:tcPr>
          <w:p>
            <w:pPr>
              <w:spacing w:after="0"/>
              <w:rPr>
                <w:sz w:val="19"/>
                <w:szCs w:val="19"/>
                <w:color w:val="auto"/>
              </w:rPr>
            </w:pPr>
          </w:p>
        </w:tc>
        <w:tc>
          <w:tcPr>
            <w:tcW w:w="1800" w:type="dxa"/>
            <w:vAlign w:val="bottom"/>
            <w:shd w:val="clear" w:color="auto" w:fill="E20074"/>
          </w:tcPr>
          <w:p>
            <w:pPr>
              <w:spacing w:after="0"/>
              <w:rPr>
                <w:sz w:val="19"/>
                <w:szCs w:val="19"/>
                <w:color w:val="auto"/>
              </w:rPr>
            </w:pPr>
          </w:p>
        </w:tc>
        <w:tc>
          <w:tcPr>
            <w:tcW w:w="300" w:type="dxa"/>
            <w:vAlign w:val="bottom"/>
            <w:shd w:val="clear" w:color="auto" w:fill="E20074"/>
          </w:tcPr>
          <w:p>
            <w:pPr>
              <w:spacing w:after="0"/>
              <w:rPr>
                <w:sz w:val="19"/>
                <w:szCs w:val="19"/>
                <w:color w:val="auto"/>
              </w:rPr>
            </w:pPr>
          </w:p>
        </w:tc>
        <w:tc>
          <w:tcPr>
            <w:tcW w:w="2220" w:type="dxa"/>
            <w:vAlign w:val="bottom"/>
            <w:shd w:val="clear" w:color="auto" w:fill="E20074"/>
          </w:tcPr>
          <w:p>
            <w:pPr>
              <w:spacing w:after="0"/>
              <w:rPr>
                <w:sz w:val="19"/>
                <w:szCs w:val="19"/>
                <w:color w:val="auto"/>
              </w:rPr>
            </w:pPr>
          </w:p>
        </w:tc>
        <w:tc>
          <w:tcPr>
            <w:tcW w:w="720" w:type="dxa"/>
            <w:vAlign w:val="bottom"/>
            <w:shd w:val="clear" w:color="auto" w:fill="E20074"/>
          </w:tcPr>
          <w:p>
            <w:pPr>
              <w:spacing w:after="0"/>
              <w:rPr>
                <w:sz w:val="19"/>
                <w:szCs w:val="19"/>
                <w:color w:val="auto"/>
              </w:rPr>
            </w:pPr>
          </w:p>
        </w:tc>
        <w:tc>
          <w:tcPr>
            <w:tcW w:w="40" w:type="dxa"/>
            <w:vAlign w:val="bottom"/>
            <w:shd w:val="clear" w:color="auto" w:fill="E20074"/>
          </w:tcPr>
          <w:p>
            <w:pPr>
              <w:spacing w:after="0"/>
              <w:rPr>
                <w:sz w:val="19"/>
                <w:szCs w:val="19"/>
                <w:color w:val="auto"/>
              </w:rPr>
            </w:pPr>
          </w:p>
        </w:tc>
        <w:tc>
          <w:tcPr>
            <w:tcW w:w="20" w:type="dxa"/>
            <w:vAlign w:val="bottom"/>
            <w:shd w:val="clear" w:color="auto" w:fill="E20074"/>
          </w:tcPr>
          <w:p>
            <w:pPr>
              <w:spacing w:after="0"/>
              <w:rPr>
                <w:sz w:val="19"/>
                <w:szCs w:val="19"/>
                <w:color w:val="auto"/>
              </w:rPr>
            </w:pPr>
          </w:p>
        </w:tc>
        <w:tc>
          <w:tcPr>
            <w:tcW w:w="60" w:type="dxa"/>
            <w:vAlign w:val="bottom"/>
            <w:shd w:val="clear" w:color="auto" w:fill="E20074"/>
          </w:tcPr>
          <w:p>
            <w:pPr>
              <w:spacing w:after="0"/>
              <w:rPr>
                <w:sz w:val="19"/>
                <w:szCs w:val="19"/>
                <w:color w:val="auto"/>
              </w:rPr>
            </w:pPr>
          </w:p>
        </w:tc>
        <w:tc>
          <w:tcPr>
            <w:tcW w:w="320" w:type="dxa"/>
            <w:vAlign w:val="bottom"/>
            <w:shd w:val="clear" w:color="auto" w:fill="E20074"/>
          </w:tcPr>
          <w:p>
            <w:pPr>
              <w:spacing w:after="0"/>
              <w:rPr>
                <w:sz w:val="19"/>
                <w:szCs w:val="19"/>
                <w:color w:val="auto"/>
              </w:rPr>
            </w:pPr>
          </w:p>
        </w:tc>
        <w:tc>
          <w:tcPr>
            <w:tcW w:w="100" w:type="dxa"/>
            <w:vAlign w:val="bottom"/>
            <w:shd w:val="clear" w:color="auto" w:fill="E20074"/>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shd w:val="clear" w:color="auto" w:fill="E20074"/>
          </w:tcPr>
          <w:p>
            <w:pPr>
              <w:spacing w:after="0"/>
              <w:rPr>
                <w:sz w:val="19"/>
                <w:szCs w:val="19"/>
                <w:color w:val="auto"/>
              </w:rPr>
            </w:pPr>
          </w:p>
        </w:tc>
        <w:tc>
          <w:tcPr>
            <w:tcW w:w="2720" w:type="dxa"/>
            <w:vAlign w:val="bottom"/>
            <w:gridSpan w:val="5"/>
            <w:shd w:val="clear" w:color="auto" w:fill="E20074"/>
          </w:tcPr>
          <w:p>
            <w:pPr>
              <w:jc w:val="center"/>
              <w:ind w:right="768"/>
              <w:spacing w:after="0"/>
              <w:rPr>
                <w:sz w:val="20"/>
                <w:szCs w:val="20"/>
                <w:color w:val="auto"/>
              </w:rPr>
            </w:pPr>
            <w:r>
              <w:rPr>
                <w:rFonts w:ascii="Times New Roman" w:cs="Times New Roman" w:eastAsia="Times New Roman" w:hAnsi="Times New Roman"/>
                <w:sz w:val="14"/>
                <w:szCs w:val="14"/>
                <w:b w:val="1"/>
                <w:bCs w:val="1"/>
                <w:color w:val="FFFFFF"/>
              </w:rPr>
              <w:t>Incorporated by Reference</w:t>
            </w:r>
          </w:p>
        </w:tc>
        <w:tc>
          <w:tcPr>
            <w:tcW w:w="100" w:type="dxa"/>
            <w:vAlign w:val="bottom"/>
          </w:tcPr>
          <w:p>
            <w:pPr>
              <w:spacing w:after="0"/>
              <w:rPr>
                <w:sz w:val="19"/>
                <w:szCs w:val="19"/>
                <w:color w:val="auto"/>
              </w:rPr>
            </w:pPr>
          </w:p>
        </w:tc>
        <w:tc>
          <w:tcPr>
            <w:tcW w:w="720" w:type="dxa"/>
            <w:vAlign w:val="bottom"/>
            <w:shd w:val="clear" w:color="auto" w:fill="E20074"/>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shd w:val="clear" w:color="auto" w:fill="E20074"/>
          </w:tcPr>
          <w:p>
            <w:pPr>
              <w:ind w:left="160"/>
              <w:spacing w:after="0"/>
              <w:rPr>
                <w:sz w:val="20"/>
                <w:szCs w:val="20"/>
                <w:color w:val="auto"/>
              </w:rPr>
            </w:pPr>
            <w:r>
              <w:rPr>
                <w:rFonts w:ascii="Times New Roman" w:cs="Times New Roman" w:eastAsia="Times New Roman" w:hAnsi="Times New Roman"/>
                <w:sz w:val="14"/>
                <w:szCs w:val="14"/>
                <w:b w:val="1"/>
                <w:bCs w:val="1"/>
                <w:color w:val="FFFFFF"/>
              </w:rPr>
              <w:t>Exhibit No.</w:t>
            </w:r>
          </w:p>
        </w:tc>
        <w:tc>
          <w:tcPr>
            <w:tcW w:w="140" w:type="dxa"/>
            <w:vAlign w:val="bottom"/>
            <w:tcBorders>
              <w:right w:val="single" w:sz="8" w:color="E20074"/>
            </w:tcBorders>
          </w:tcPr>
          <w:p>
            <w:pPr>
              <w:spacing w:after="0"/>
              <w:rPr>
                <w:sz w:val="14"/>
                <w:szCs w:val="14"/>
                <w:color w:val="auto"/>
              </w:rPr>
            </w:pPr>
          </w:p>
        </w:tc>
        <w:tc>
          <w:tcPr>
            <w:tcW w:w="5580" w:type="dxa"/>
            <w:vAlign w:val="bottom"/>
            <w:gridSpan w:val="9"/>
            <w:vMerge w:val="restart"/>
            <w:shd w:val="clear" w:color="auto" w:fill="E20074"/>
          </w:tcPr>
          <w:p>
            <w:pPr>
              <w:spacing w:after="0"/>
              <w:rPr>
                <w:sz w:val="20"/>
                <w:szCs w:val="20"/>
                <w:color w:val="auto"/>
              </w:rPr>
            </w:pPr>
            <w:r>
              <w:rPr>
                <w:rFonts w:ascii="Times New Roman" w:cs="Times New Roman" w:eastAsia="Times New Roman" w:hAnsi="Times New Roman"/>
                <w:sz w:val="14"/>
                <w:szCs w:val="14"/>
                <w:b w:val="1"/>
                <w:bCs w:val="1"/>
                <w:color w:val="FFFFFF"/>
              </w:rPr>
              <w:t>Exhibit Description</w:t>
            </w:r>
          </w:p>
        </w:tc>
        <w:tc>
          <w:tcPr>
            <w:tcW w:w="100" w:type="dxa"/>
            <w:vAlign w:val="bottom"/>
          </w:tcPr>
          <w:p>
            <w:pPr>
              <w:spacing w:after="0"/>
              <w:rPr>
                <w:sz w:val="14"/>
                <w:szCs w:val="14"/>
                <w:color w:val="auto"/>
              </w:rPr>
            </w:pPr>
          </w:p>
        </w:tc>
        <w:tc>
          <w:tcPr>
            <w:tcW w:w="840" w:type="dxa"/>
            <w:vAlign w:val="bottom"/>
            <w:vMerge w:val="restart"/>
            <w:shd w:val="clear" w:color="auto" w:fill="E20074"/>
          </w:tcPr>
          <w:p>
            <w:pPr>
              <w:ind w:left="380"/>
              <w:spacing w:after="0"/>
              <w:rPr>
                <w:sz w:val="20"/>
                <w:szCs w:val="20"/>
                <w:color w:val="auto"/>
              </w:rPr>
            </w:pPr>
            <w:r>
              <w:rPr>
                <w:rFonts w:ascii="Times New Roman" w:cs="Times New Roman" w:eastAsia="Times New Roman" w:hAnsi="Times New Roman"/>
                <w:sz w:val="14"/>
                <w:szCs w:val="14"/>
                <w:b w:val="1"/>
                <w:bCs w:val="1"/>
                <w:color w:val="FFFFFF"/>
              </w:rPr>
              <w:t>Form</w:t>
            </w:r>
          </w:p>
        </w:tc>
        <w:tc>
          <w:tcPr>
            <w:tcW w:w="280" w:type="dxa"/>
            <w:vAlign w:val="bottom"/>
            <w:shd w:val="clear" w:color="auto" w:fill="E20074"/>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Date of First</w:t>
            </w:r>
          </w:p>
        </w:tc>
        <w:tc>
          <w:tcPr>
            <w:tcW w:w="120" w:type="dxa"/>
            <w:vAlign w:val="bottom"/>
          </w:tcPr>
          <w:p>
            <w:pPr>
              <w:spacing w:after="0"/>
              <w:rPr>
                <w:sz w:val="14"/>
                <w:szCs w:val="14"/>
                <w:color w:val="auto"/>
              </w:rPr>
            </w:pPr>
          </w:p>
        </w:tc>
        <w:tc>
          <w:tcPr>
            <w:tcW w:w="1120" w:type="dxa"/>
            <w:vAlign w:val="bottom"/>
            <w:vMerge w:val="restart"/>
            <w:shd w:val="clear" w:color="auto" w:fill="E20074"/>
          </w:tcPr>
          <w:p>
            <w:pPr>
              <w:ind w:left="60"/>
              <w:spacing w:after="0"/>
              <w:rPr>
                <w:sz w:val="20"/>
                <w:szCs w:val="20"/>
                <w:color w:val="auto"/>
              </w:rPr>
            </w:pPr>
            <w:r>
              <w:rPr>
                <w:rFonts w:ascii="Times New Roman" w:cs="Times New Roman" w:eastAsia="Times New Roman" w:hAnsi="Times New Roman"/>
                <w:sz w:val="14"/>
                <w:szCs w:val="14"/>
                <w:b w:val="1"/>
                <w:bCs w:val="1"/>
                <w:color w:val="FFFFFF"/>
              </w:rPr>
              <w:t>Exhibit Number</w:t>
            </w:r>
          </w:p>
        </w:tc>
        <w:tc>
          <w:tcPr>
            <w:tcW w:w="100" w:type="dxa"/>
            <w:vAlign w:val="bottom"/>
          </w:tcPr>
          <w:p>
            <w:pPr>
              <w:spacing w:after="0"/>
              <w:rPr>
                <w:sz w:val="14"/>
                <w:szCs w:val="14"/>
                <w:color w:val="auto"/>
              </w:rPr>
            </w:pPr>
          </w:p>
        </w:tc>
        <w:tc>
          <w:tcPr>
            <w:tcW w:w="72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Filed</w:t>
            </w:r>
          </w:p>
        </w:tc>
        <w:tc>
          <w:tcPr>
            <w:tcW w:w="0" w:type="dxa"/>
            <w:vAlign w:val="bottom"/>
          </w:tcPr>
          <w:p>
            <w:pPr>
              <w:spacing w:after="0"/>
              <w:rPr>
                <w:sz w:val="1"/>
                <w:szCs w:val="1"/>
                <w:color w:val="auto"/>
              </w:rPr>
            </w:pPr>
          </w:p>
        </w:tc>
      </w:tr>
      <w:tr>
        <w:trPr>
          <w:trHeight w:val="200"/>
        </w:trPr>
        <w:tc>
          <w:tcPr>
            <w:tcW w:w="1000" w:type="dxa"/>
            <w:vAlign w:val="bottom"/>
            <w:vMerge w:val="continue"/>
            <w:shd w:val="clear" w:color="auto" w:fill="E20074"/>
          </w:tcPr>
          <w:p>
            <w:pPr>
              <w:spacing w:after="0"/>
              <w:rPr>
                <w:sz w:val="17"/>
                <w:szCs w:val="17"/>
                <w:color w:val="auto"/>
              </w:rPr>
            </w:pPr>
          </w:p>
        </w:tc>
        <w:tc>
          <w:tcPr>
            <w:tcW w:w="140" w:type="dxa"/>
            <w:vAlign w:val="bottom"/>
            <w:tcBorders>
              <w:right w:val="single" w:sz="8" w:color="E20074"/>
            </w:tcBorders>
          </w:tcPr>
          <w:p>
            <w:pPr>
              <w:spacing w:after="0"/>
              <w:rPr>
                <w:sz w:val="17"/>
                <w:szCs w:val="17"/>
                <w:color w:val="auto"/>
              </w:rPr>
            </w:pPr>
          </w:p>
        </w:tc>
        <w:tc>
          <w:tcPr>
            <w:tcW w:w="5580" w:type="dxa"/>
            <w:vAlign w:val="bottom"/>
            <w:gridSpan w:val="9"/>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shd w:val="clear" w:color="auto" w:fill="E20074"/>
          </w:tcPr>
          <w:p>
            <w:pPr>
              <w:spacing w:after="0"/>
              <w:rPr>
                <w:sz w:val="17"/>
                <w:szCs w:val="17"/>
                <w:color w:val="auto"/>
              </w:rPr>
            </w:pPr>
          </w:p>
        </w:tc>
        <w:tc>
          <w:tcPr>
            <w:tcW w:w="280" w:type="dxa"/>
            <w:vAlign w:val="bottom"/>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Filing</w:t>
            </w:r>
          </w:p>
        </w:tc>
        <w:tc>
          <w:tcPr>
            <w:tcW w:w="120" w:type="dxa"/>
            <w:vAlign w:val="bottom"/>
          </w:tcPr>
          <w:p>
            <w:pPr>
              <w:spacing w:after="0"/>
              <w:rPr>
                <w:sz w:val="17"/>
                <w:szCs w:val="17"/>
                <w:color w:val="auto"/>
              </w:rPr>
            </w:pPr>
          </w:p>
        </w:tc>
        <w:tc>
          <w:tcPr>
            <w:tcW w:w="1120" w:type="dxa"/>
            <w:vAlign w:val="bottom"/>
            <w:vMerge w:val="continue"/>
            <w:shd w:val="clear" w:color="auto" w:fill="E20074"/>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shd w:val="clear" w:color="auto" w:fill="E20074"/>
          </w:tcPr>
          <w:p>
            <w:pPr>
              <w:jc w:val="center"/>
              <w:spacing w:after="0"/>
              <w:rPr>
                <w:sz w:val="20"/>
                <w:szCs w:val="20"/>
                <w:color w:val="auto"/>
              </w:rPr>
            </w:pPr>
            <w:r>
              <w:rPr>
                <w:rFonts w:ascii="Times New Roman" w:cs="Times New Roman" w:eastAsia="Times New Roman" w:hAnsi="Times New Roman"/>
                <w:sz w:val="14"/>
                <w:szCs w:val="14"/>
                <w:b w:val="1"/>
                <w:bCs w:val="1"/>
                <w:color w:val="FFFFFF"/>
              </w:rPr>
              <w:t>Herein</w:t>
            </w:r>
          </w:p>
        </w:tc>
        <w:tc>
          <w:tcPr>
            <w:tcW w:w="0" w:type="dxa"/>
            <w:vAlign w:val="bottom"/>
          </w:tcPr>
          <w:p>
            <w:pPr>
              <w:spacing w:after="0"/>
              <w:rPr>
                <w:sz w:val="1"/>
                <w:szCs w:val="1"/>
                <w:color w:val="auto"/>
              </w:rPr>
            </w:pPr>
          </w:p>
        </w:tc>
      </w:tr>
      <w:tr>
        <w:trPr>
          <w:trHeight w:val="216"/>
        </w:trPr>
        <w:tc>
          <w:tcPr>
            <w:tcW w:w="100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Borders>
              <w:right w:val="single" w:sz="8" w:color="DDDDDD"/>
            </w:tcBorders>
            <w:shd w:val="clear" w:color="auto" w:fill="DDDDDD"/>
          </w:tcPr>
          <w:p>
            <w:pPr>
              <w:spacing w:after="0"/>
              <w:rPr>
                <w:sz w:val="18"/>
                <w:szCs w:val="18"/>
                <w:color w:val="auto"/>
              </w:rPr>
            </w:pPr>
          </w:p>
        </w:tc>
        <w:tc>
          <w:tcPr>
            <w:tcW w:w="5680" w:type="dxa"/>
            <w:vAlign w:val="bottom"/>
            <w:gridSpan w:val="10"/>
            <w:shd w:val="clear" w:color="auto" w:fill="DDDDDD"/>
          </w:tcPr>
          <w:p>
            <w:pPr>
              <w:spacing w:after="0"/>
              <w:rPr>
                <w:sz w:val="20"/>
                <w:szCs w:val="20"/>
                <w:color w:val="auto"/>
              </w:rPr>
            </w:pPr>
            <w:r>
              <w:rPr>
                <w:rFonts w:ascii="Times New Roman" w:cs="Times New Roman" w:eastAsia="Times New Roman" w:hAnsi="Times New Roman"/>
                <w:sz w:val="18"/>
                <w:szCs w:val="18"/>
                <w:color w:val="0000FF"/>
              </w:rPr>
              <w:t>Letter Agreement, dated as of September 1, 2026, by and between T-Mobile</w:t>
            </w:r>
          </w:p>
        </w:tc>
        <w:tc>
          <w:tcPr>
            <w:tcW w:w="840" w:type="dxa"/>
            <w:vAlign w:val="bottom"/>
            <w:shd w:val="clear" w:color="auto" w:fill="DDDDDD"/>
          </w:tcPr>
          <w:p>
            <w:pPr>
              <w:spacing w:after="0"/>
              <w:rPr>
                <w:sz w:val="18"/>
                <w:szCs w:val="18"/>
                <w:color w:val="auto"/>
              </w:rPr>
            </w:pPr>
          </w:p>
        </w:tc>
        <w:tc>
          <w:tcPr>
            <w:tcW w:w="2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7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0"/>
        </w:trPr>
        <w:tc>
          <w:tcPr>
            <w:tcW w:w="1000" w:type="dxa"/>
            <w:vAlign w:val="bottom"/>
            <w:tcBorders>
              <w:top w:val="single" w:sz="8" w:color="DDDDDD"/>
              <w:bottom w:val="single" w:sz="8" w:color="DDDDDD"/>
            </w:tcBorders>
            <w:shd w:val="clear" w:color="auto" w:fill="DDDDDD"/>
          </w:tcPr>
          <w:p>
            <w:pPr>
              <w:spacing w:after="0"/>
              <w:rPr>
                <w:sz w:val="16"/>
                <w:szCs w:val="16"/>
                <w:color w:val="auto"/>
              </w:rPr>
            </w:pPr>
          </w:p>
        </w:tc>
        <w:tc>
          <w:tcPr>
            <w:tcW w:w="140" w:type="dxa"/>
            <w:vAlign w:val="bottom"/>
            <w:tcBorders>
              <w:top w:val="single" w:sz="8" w:color="DDDDDD"/>
              <w:bottom w:val="single" w:sz="8" w:color="DDDDDD"/>
              <w:right w:val="single" w:sz="8" w:color="DDDDDD"/>
            </w:tcBorders>
            <w:shd w:val="clear" w:color="auto" w:fill="DDDDDD"/>
          </w:tcPr>
          <w:p>
            <w:pPr>
              <w:spacing w:after="0"/>
              <w:rPr>
                <w:sz w:val="16"/>
                <w:szCs w:val="16"/>
                <w:color w:val="auto"/>
              </w:rPr>
            </w:pPr>
          </w:p>
        </w:tc>
        <w:tc>
          <w:tcPr>
            <w:tcW w:w="1800" w:type="dxa"/>
            <w:vAlign w:val="bottom"/>
            <w:tcBorders>
              <w:top w:val="single" w:sz="8" w:color="0000FF"/>
              <w:bottom w:val="single" w:sz="8" w:color="0000FF"/>
            </w:tcBorders>
            <w:shd w:val="clear" w:color="auto" w:fill="DDDDDD"/>
          </w:tcPr>
          <w:p>
            <w:pPr>
              <w:spacing w:after="0" w:line="156" w:lineRule="exact"/>
              <w:rPr>
                <w:sz w:val="20"/>
                <w:szCs w:val="20"/>
                <w:color w:val="auto"/>
              </w:rPr>
            </w:pPr>
            <w:r>
              <w:rPr>
                <w:rFonts w:ascii="Times New Roman" w:cs="Times New Roman" w:eastAsia="Times New Roman" w:hAnsi="Times New Roman"/>
                <w:sz w:val="18"/>
                <w:szCs w:val="18"/>
                <w:color w:val="0000FF"/>
                <w:w w:val="98"/>
              </w:rPr>
              <w:t>US, Inc. and Jessica Uhl.</w:t>
            </w:r>
          </w:p>
        </w:tc>
        <w:tc>
          <w:tcPr>
            <w:tcW w:w="3680" w:type="dxa"/>
            <w:vAlign w:val="bottom"/>
            <w:tcBorders>
              <w:top w:val="single" w:sz="8" w:color="0000FF"/>
              <w:bottom w:val="single" w:sz="8" w:color="DDDDDD"/>
            </w:tcBorders>
            <w:gridSpan w:val="7"/>
            <w:shd w:val="clear" w:color="auto" w:fill="DDDDDD"/>
          </w:tcPr>
          <w:p>
            <w:pPr>
              <w:spacing w:after="0"/>
              <w:rPr>
                <w:sz w:val="16"/>
                <w:szCs w:val="16"/>
                <w:color w:val="auto"/>
              </w:rPr>
            </w:pPr>
          </w:p>
        </w:tc>
        <w:tc>
          <w:tcPr>
            <w:tcW w:w="200" w:type="dxa"/>
            <w:vAlign w:val="bottom"/>
            <w:tcBorders>
              <w:top w:val="single" w:sz="8" w:color="DDDDDD"/>
              <w:bottom w:val="single" w:sz="8" w:color="DDDDDD"/>
            </w:tcBorders>
            <w:gridSpan w:val="2"/>
            <w:shd w:val="clear" w:color="auto" w:fill="DDDDDD"/>
          </w:tcPr>
          <w:p>
            <w:pPr>
              <w:spacing w:after="0"/>
              <w:rPr>
                <w:sz w:val="16"/>
                <w:szCs w:val="16"/>
                <w:color w:val="auto"/>
              </w:rPr>
            </w:pPr>
          </w:p>
        </w:tc>
        <w:tc>
          <w:tcPr>
            <w:tcW w:w="840" w:type="dxa"/>
            <w:vAlign w:val="bottom"/>
            <w:tcBorders>
              <w:top w:val="single" w:sz="8" w:color="DDDDDD"/>
              <w:bottom w:val="single" w:sz="8" w:color="DDDDDD"/>
            </w:tcBorders>
            <w:shd w:val="clear" w:color="auto" w:fill="DDDDDD"/>
          </w:tcPr>
          <w:p>
            <w:pPr>
              <w:spacing w:after="0"/>
              <w:rPr>
                <w:sz w:val="16"/>
                <w:szCs w:val="16"/>
                <w:color w:val="auto"/>
              </w:rPr>
            </w:pPr>
          </w:p>
        </w:tc>
        <w:tc>
          <w:tcPr>
            <w:tcW w:w="280" w:type="dxa"/>
            <w:vAlign w:val="bottom"/>
            <w:tcBorders>
              <w:top w:val="single" w:sz="8" w:color="DDDDDD"/>
              <w:bottom w:val="single" w:sz="8" w:color="DDDDDD"/>
            </w:tcBorders>
            <w:shd w:val="clear" w:color="auto" w:fill="DDDDDD"/>
          </w:tcPr>
          <w:p>
            <w:pPr>
              <w:spacing w:after="0"/>
              <w:rPr>
                <w:sz w:val="16"/>
                <w:szCs w:val="16"/>
                <w:color w:val="auto"/>
              </w:rPr>
            </w:pPr>
          </w:p>
        </w:tc>
        <w:tc>
          <w:tcPr>
            <w:tcW w:w="100" w:type="dxa"/>
            <w:vAlign w:val="bottom"/>
            <w:tcBorders>
              <w:top w:val="single" w:sz="8" w:color="DDDDDD"/>
              <w:bottom w:val="single" w:sz="8" w:color="DDDDDD"/>
            </w:tcBorders>
            <w:shd w:val="clear" w:color="auto" w:fill="DDDDDD"/>
          </w:tcPr>
          <w:p>
            <w:pPr>
              <w:spacing w:after="0"/>
              <w:rPr>
                <w:sz w:val="16"/>
                <w:szCs w:val="16"/>
                <w:color w:val="auto"/>
              </w:rPr>
            </w:pPr>
          </w:p>
        </w:tc>
        <w:tc>
          <w:tcPr>
            <w:tcW w:w="1100" w:type="dxa"/>
            <w:vAlign w:val="bottom"/>
            <w:tcBorders>
              <w:top w:val="single" w:sz="8" w:color="DDDDDD"/>
              <w:bottom w:val="single" w:sz="8" w:color="DDDDDD"/>
            </w:tcBorders>
            <w:shd w:val="clear" w:color="auto" w:fill="DDDDDD"/>
          </w:tcPr>
          <w:p>
            <w:pPr>
              <w:spacing w:after="0"/>
              <w:rPr>
                <w:sz w:val="16"/>
                <w:szCs w:val="16"/>
                <w:color w:val="auto"/>
              </w:rPr>
            </w:pPr>
          </w:p>
        </w:tc>
        <w:tc>
          <w:tcPr>
            <w:tcW w:w="120" w:type="dxa"/>
            <w:vAlign w:val="bottom"/>
            <w:tcBorders>
              <w:top w:val="single" w:sz="8" w:color="DDDDDD"/>
              <w:bottom w:val="single" w:sz="8" w:color="DDDDDD"/>
            </w:tcBorders>
            <w:shd w:val="clear" w:color="auto" w:fill="DDDDDD"/>
          </w:tcPr>
          <w:p>
            <w:pPr>
              <w:spacing w:after="0"/>
              <w:rPr>
                <w:sz w:val="16"/>
                <w:szCs w:val="16"/>
                <w:color w:val="auto"/>
              </w:rPr>
            </w:pPr>
          </w:p>
        </w:tc>
        <w:tc>
          <w:tcPr>
            <w:tcW w:w="1120" w:type="dxa"/>
            <w:vAlign w:val="bottom"/>
            <w:tcBorders>
              <w:top w:val="single" w:sz="8" w:color="DDDDDD"/>
              <w:bottom w:val="single" w:sz="8" w:color="DDDDDD"/>
            </w:tcBorders>
            <w:shd w:val="clear" w:color="auto" w:fill="DDDDDD"/>
          </w:tcPr>
          <w:p>
            <w:pPr>
              <w:spacing w:after="0"/>
              <w:rPr>
                <w:sz w:val="16"/>
                <w:szCs w:val="16"/>
                <w:color w:val="auto"/>
              </w:rPr>
            </w:pPr>
          </w:p>
        </w:tc>
        <w:tc>
          <w:tcPr>
            <w:tcW w:w="100" w:type="dxa"/>
            <w:vAlign w:val="bottom"/>
            <w:tcBorders>
              <w:top w:val="single" w:sz="8" w:color="DDDDDD"/>
              <w:bottom w:val="single" w:sz="8" w:color="DDDDDD"/>
            </w:tcBorders>
            <w:shd w:val="clear" w:color="auto" w:fill="DDDDDD"/>
          </w:tcPr>
          <w:p>
            <w:pPr>
              <w:spacing w:after="0"/>
              <w:rPr>
                <w:sz w:val="16"/>
                <w:szCs w:val="16"/>
                <w:color w:val="auto"/>
              </w:rPr>
            </w:pPr>
          </w:p>
        </w:tc>
        <w:tc>
          <w:tcPr>
            <w:tcW w:w="720" w:type="dxa"/>
            <w:vAlign w:val="bottom"/>
            <w:tcBorders>
              <w:top w:val="single" w:sz="8" w:color="DDDDDD"/>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22.1</w:t>
            </w:r>
          </w:p>
        </w:tc>
        <w:tc>
          <w:tcPr>
            <w:tcW w:w="140" w:type="dxa"/>
            <w:vAlign w:val="bottom"/>
          </w:tcPr>
          <w:p>
            <w:pPr>
              <w:spacing w:after="0"/>
              <w:rPr>
                <w:sz w:val="17"/>
                <w:szCs w:val="17"/>
                <w:color w:val="auto"/>
              </w:rPr>
            </w:pPr>
          </w:p>
        </w:tc>
        <w:tc>
          <w:tcPr>
            <w:tcW w:w="56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Subsidiary Guarantors and Issuers of Guaranteed Securities.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shd w:val="clear" w:color="auto" w:fill="DDDDDD"/>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140" w:type="dxa"/>
            <w:vAlign w:val="bottom"/>
            <w:tcBorders>
              <w:right w:val="single" w:sz="8" w:color="DDDDDD"/>
            </w:tcBorders>
            <w:shd w:val="clear" w:color="auto" w:fill="DDDDDD"/>
          </w:tcPr>
          <w:p>
            <w:pPr>
              <w:spacing w:after="0"/>
              <w:rPr>
                <w:sz w:val="17"/>
                <w:szCs w:val="17"/>
                <w:color w:val="auto"/>
              </w:rPr>
            </w:pPr>
          </w:p>
        </w:tc>
        <w:tc>
          <w:tcPr>
            <w:tcW w:w="5680" w:type="dxa"/>
            <w:vAlign w:val="bottom"/>
            <w:gridSpan w:val="10"/>
            <w:shd w:val="clear" w:color="auto" w:fill="DDDDDD"/>
          </w:tcPr>
          <w:p>
            <w:pPr>
              <w:spacing w:after="0" w:line="202" w:lineRule="exact"/>
              <w:rPr>
                <w:sz w:val="20"/>
                <w:szCs w:val="20"/>
                <w:color w:val="auto"/>
              </w:rPr>
            </w:pPr>
            <w:r>
              <w:rPr>
                <w:rFonts w:ascii="Times New Roman" w:cs="Times New Roman" w:eastAsia="Times New Roman" w:hAnsi="Times New Roman"/>
                <w:sz w:val="18"/>
                <w:szCs w:val="18"/>
                <w:color w:val="0000FF"/>
              </w:rPr>
              <w:t>Certifications of Chief Executive Officer Pursuant to Section 302 of the</w:t>
            </w:r>
          </w:p>
        </w:tc>
        <w:tc>
          <w:tcPr>
            <w:tcW w:w="84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720" w:type="dxa"/>
            <w:vAlign w:val="bottom"/>
            <w:shd w:val="clear" w:color="auto" w:fill="DDDDDD"/>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9"/>
        </w:trPr>
        <w:tc>
          <w:tcPr>
            <w:tcW w:w="1000" w:type="dxa"/>
            <w:vAlign w:val="bottom"/>
            <w:tcBorders>
              <w:top w:val="single" w:sz="8" w:color="DDDDDD"/>
              <w:bottom w:val="single" w:sz="8" w:color="DDDDDD"/>
            </w:tcBorders>
            <w:shd w:val="clear" w:color="auto" w:fill="DDDDDD"/>
          </w:tcPr>
          <w:p>
            <w:pPr>
              <w:spacing w:after="0"/>
              <w:rPr>
                <w:sz w:val="16"/>
                <w:szCs w:val="16"/>
                <w:color w:val="auto"/>
              </w:rPr>
            </w:pPr>
          </w:p>
        </w:tc>
        <w:tc>
          <w:tcPr>
            <w:tcW w:w="140" w:type="dxa"/>
            <w:vAlign w:val="bottom"/>
            <w:tcBorders>
              <w:top w:val="single" w:sz="8" w:color="DDDDDD"/>
              <w:bottom w:val="single" w:sz="8" w:color="DDDDDD"/>
              <w:right w:val="single" w:sz="8" w:color="DDDDDD"/>
            </w:tcBorders>
            <w:shd w:val="clear" w:color="auto" w:fill="DDDDDD"/>
          </w:tcPr>
          <w:p>
            <w:pPr>
              <w:spacing w:after="0"/>
              <w:rPr>
                <w:sz w:val="16"/>
                <w:szCs w:val="16"/>
                <w:color w:val="auto"/>
              </w:rPr>
            </w:pPr>
          </w:p>
        </w:tc>
        <w:tc>
          <w:tcPr>
            <w:tcW w:w="2100" w:type="dxa"/>
            <w:vAlign w:val="bottom"/>
            <w:tcBorders>
              <w:top w:val="single" w:sz="8" w:color="0000FF"/>
              <w:bottom w:val="single" w:sz="8" w:color="0000FF"/>
            </w:tcBorders>
            <w:gridSpan w:val="2"/>
            <w:shd w:val="clear" w:color="auto" w:fill="DDDDDD"/>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060" w:type="dxa"/>
            <w:vAlign w:val="bottom"/>
            <w:tcBorders>
              <w:top w:val="single" w:sz="8" w:color="0000FF"/>
              <w:bottom w:val="single" w:sz="8" w:color="DDDDDD"/>
            </w:tcBorders>
            <w:gridSpan w:val="5"/>
            <w:shd w:val="clear" w:color="auto" w:fill="DDDDDD"/>
          </w:tcPr>
          <w:p>
            <w:pPr>
              <w:spacing w:after="0"/>
              <w:rPr>
                <w:sz w:val="16"/>
                <w:szCs w:val="16"/>
                <w:color w:val="auto"/>
              </w:rPr>
            </w:pPr>
          </w:p>
        </w:tc>
        <w:tc>
          <w:tcPr>
            <w:tcW w:w="520" w:type="dxa"/>
            <w:vAlign w:val="bottom"/>
            <w:tcBorders>
              <w:top w:val="single" w:sz="8" w:color="DDDDDD"/>
              <w:bottom w:val="single" w:sz="8" w:color="DDDDDD"/>
            </w:tcBorders>
            <w:gridSpan w:val="3"/>
            <w:shd w:val="clear" w:color="auto" w:fill="DDDDDD"/>
          </w:tcPr>
          <w:p>
            <w:pPr>
              <w:spacing w:after="0"/>
              <w:rPr>
                <w:sz w:val="16"/>
                <w:szCs w:val="16"/>
                <w:color w:val="auto"/>
              </w:rPr>
            </w:pPr>
          </w:p>
        </w:tc>
        <w:tc>
          <w:tcPr>
            <w:tcW w:w="840" w:type="dxa"/>
            <w:vAlign w:val="bottom"/>
            <w:tcBorders>
              <w:top w:val="single" w:sz="8" w:color="DDDDDD"/>
              <w:bottom w:val="single" w:sz="8" w:color="DDDDDD"/>
            </w:tcBorders>
            <w:shd w:val="clear" w:color="auto" w:fill="DDDDDD"/>
          </w:tcPr>
          <w:p>
            <w:pPr>
              <w:spacing w:after="0"/>
              <w:rPr>
                <w:sz w:val="16"/>
                <w:szCs w:val="16"/>
                <w:color w:val="auto"/>
              </w:rPr>
            </w:pPr>
          </w:p>
        </w:tc>
        <w:tc>
          <w:tcPr>
            <w:tcW w:w="280" w:type="dxa"/>
            <w:vAlign w:val="bottom"/>
            <w:tcBorders>
              <w:top w:val="single" w:sz="8" w:color="DDDDDD"/>
              <w:bottom w:val="single" w:sz="8" w:color="DDDDDD"/>
            </w:tcBorders>
            <w:shd w:val="clear" w:color="auto" w:fill="DDDDDD"/>
          </w:tcPr>
          <w:p>
            <w:pPr>
              <w:spacing w:after="0"/>
              <w:rPr>
                <w:sz w:val="16"/>
                <w:szCs w:val="16"/>
                <w:color w:val="auto"/>
              </w:rPr>
            </w:pPr>
          </w:p>
        </w:tc>
        <w:tc>
          <w:tcPr>
            <w:tcW w:w="100" w:type="dxa"/>
            <w:vAlign w:val="bottom"/>
            <w:tcBorders>
              <w:top w:val="single" w:sz="8" w:color="DDDDDD"/>
              <w:bottom w:val="single" w:sz="8" w:color="DDDDDD"/>
            </w:tcBorders>
            <w:shd w:val="clear" w:color="auto" w:fill="DDDDDD"/>
          </w:tcPr>
          <w:p>
            <w:pPr>
              <w:spacing w:after="0"/>
              <w:rPr>
                <w:sz w:val="16"/>
                <w:szCs w:val="16"/>
                <w:color w:val="auto"/>
              </w:rPr>
            </w:pPr>
          </w:p>
        </w:tc>
        <w:tc>
          <w:tcPr>
            <w:tcW w:w="1100" w:type="dxa"/>
            <w:vAlign w:val="bottom"/>
            <w:tcBorders>
              <w:top w:val="single" w:sz="8" w:color="DDDDDD"/>
              <w:bottom w:val="single" w:sz="8" w:color="DDDDDD"/>
            </w:tcBorders>
            <w:shd w:val="clear" w:color="auto" w:fill="DDDDDD"/>
          </w:tcPr>
          <w:p>
            <w:pPr>
              <w:spacing w:after="0"/>
              <w:rPr>
                <w:sz w:val="16"/>
                <w:szCs w:val="16"/>
                <w:color w:val="auto"/>
              </w:rPr>
            </w:pPr>
          </w:p>
        </w:tc>
        <w:tc>
          <w:tcPr>
            <w:tcW w:w="120" w:type="dxa"/>
            <w:vAlign w:val="bottom"/>
            <w:tcBorders>
              <w:top w:val="single" w:sz="8" w:color="DDDDDD"/>
              <w:bottom w:val="single" w:sz="8" w:color="DDDDDD"/>
            </w:tcBorders>
            <w:shd w:val="clear" w:color="auto" w:fill="DDDDDD"/>
          </w:tcPr>
          <w:p>
            <w:pPr>
              <w:spacing w:after="0"/>
              <w:rPr>
                <w:sz w:val="16"/>
                <w:szCs w:val="16"/>
                <w:color w:val="auto"/>
              </w:rPr>
            </w:pPr>
          </w:p>
        </w:tc>
        <w:tc>
          <w:tcPr>
            <w:tcW w:w="1120" w:type="dxa"/>
            <w:vAlign w:val="bottom"/>
            <w:tcBorders>
              <w:top w:val="single" w:sz="8" w:color="DDDDDD"/>
              <w:bottom w:val="single" w:sz="8" w:color="DDDDDD"/>
            </w:tcBorders>
            <w:shd w:val="clear" w:color="auto" w:fill="DDDDDD"/>
          </w:tcPr>
          <w:p>
            <w:pPr>
              <w:spacing w:after="0"/>
              <w:rPr>
                <w:sz w:val="16"/>
                <w:szCs w:val="16"/>
                <w:color w:val="auto"/>
              </w:rPr>
            </w:pPr>
          </w:p>
        </w:tc>
        <w:tc>
          <w:tcPr>
            <w:tcW w:w="100" w:type="dxa"/>
            <w:vAlign w:val="bottom"/>
            <w:tcBorders>
              <w:top w:val="single" w:sz="8" w:color="DDDDDD"/>
              <w:bottom w:val="single" w:sz="8" w:color="DDDDDD"/>
            </w:tcBorders>
            <w:shd w:val="clear" w:color="auto" w:fill="DDDDDD"/>
          </w:tcPr>
          <w:p>
            <w:pPr>
              <w:spacing w:after="0"/>
              <w:rPr>
                <w:sz w:val="16"/>
                <w:szCs w:val="16"/>
                <w:color w:val="auto"/>
              </w:rPr>
            </w:pPr>
          </w:p>
        </w:tc>
        <w:tc>
          <w:tcPr>
            <w:tcW w:w="720" w:type="dxa"/>
            <w:vAlign w:val="bottom"/>
            <w:tcBorders>
              <w:top w:val="single" w:sz="8" w:color="DDDDDD"/>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31.2</w:t>
            </w:r>
          </w:p>
        </w:tc>
        <w:tc>
          <w:tcPr>
            <w:tcW w:w="140" w:type="dxa"/>
            <w:vAlign w:val="bottom"/>
          </w:tcPr>
          <w:p>
            <w:pPr>
              <w:spacing w:after="0"/>
              <w:rPr>
                <w:sz w:val="17"/>
                <w:szCs w:val="17"/>
                <w:color w:val="auto"/>
              </w:rPr>
            </w:pPr>
          </w:p>
        </w:tc>
        <w:tc>
          <w:tcPr>
            <w:tcW w:w="56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Certifications of Chief Financial Officer Pursuant to Section 302 of the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58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0" w:type="dxa"/>
            <w:vAlign w:val="bottom"/>
            <w:shd w:val="clear" w:color="auto" w:fill="DDDDDD"/>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right w:val="single" w:sz="8" w:color="DDDDDD"/>
            </w:tcBorders>
            <w:shd w:val="clear" w:color="auto" w:fill="DDDDDD"/>
          </w:tcPr>
          <w:p>
            <w:pPr>
              <w:spacing w:after="0"/>
              <w:rPr>
                <w:sz w:val="17"/>
                <w:szCs w:val="17"/>
                <w:color w:val="auto"/>
              </w:rPr>
            </w:pPr>
          </w:p>
        </w:tc>
        <w:tc>
          <w:tcPr>
            <w:tcW w:w="5680" w:type="dxa"/>
            <w:vAlign w:val="bottom"/>
            <w:gridSpan w:val="10"/>
            <w:shd w:val="clear" w:color="auto" w:fill="DDDDDD"/>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84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1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720" w:type="dxa"/>
            <w:vAlign w:val="bottom"/>
            <w:shd w:val="clear" w:color="auto" w:fill="DDDDDD"/>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0"/>
        </w:trPr>
        <w:tc>
          <w:tcPr>
            <w:tcW w:w="1000" w:type="dxa"/>
            <w:vAlign w:val="bottom"/>
            <w:tcBorders>
              <w:top w:val="single" w:sz="8" w:color="DDDDDD"/>
              <w:bottom w:val="single" w:sz="8" w:color="DDDDDD"/>
            </w:tcBorders>
            <w:shd w:val="clear" w:color="auto" w:fill="DDDDDD"/>
          </w:tcPr>
          <w:p>
            <w:pPr>
              <w:spacing w:after="0"/>
              <w:rPr>
                <w:sz w:val="16"/>
                <w:szCs w:val="16"/>
                <w:color w:val="auto"/>
              </w:rPr>
            </w:pPr>
          </w:p>
        </w:tc>
        <w:tc>
          <w:tcPr>
            <w:tcW w:w="140" w:type="dxa"/>
            <w:vAlign w:val="bottom"/>
            <w:tcBorders>
              <w:top w:val="single" w:sz="8" w:color="DDDDDD"/>
              <w:bottom w:val="single" w:sz="8" w:color="DDDDDD"/>
              <w:right w:val="single" w:sz="8" w:color="DDDDDD"/>
            </w:tcBorders>
            <w:shd w:val="clear" w:color="auto" w:fill="DDDDDD"/>
          </w:tcPr>
          <w:p>
            <w:pPr>
              <w:spacing w:after="0"/>
              <w:rPr>
                <w:sz w:val="16"/>
                <w:szCs w:val="16"/>
                <w:color w:val="auto"/>
              </w:rPr>
            </w:pPr>
          </w:p>
        </w:tc>
        <w:tc>
          <w:tcPr>
            <w:tcW w:w="2100" w:type="dxa"/>
            <w:vAlign w:val="bottom"/>
            <w:tcBorders>
              <w:top w:val="single" w:sz="8" w:color="0000FF"/>
              <w:bottom w:val="single" w:sz="8" w:color="0000FF"/>
            </w:tcBorders>
            <w:gridSpan w:val="2"/>
            <w:shd w:val="clear" w:color="auto" w:fill="DDDDDD"/>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80" w:type="dxa"/>
            <w:vAlign w:val="bottom"/>
            <w:tcBorders>
              <w:top w:val="single" w:sz="8" w:color="0000FF"/>
              <w:bottom w:val="single" w:sz="8" w:color="DDDDDD"/>
            </w:tcBorders>
            <w:gridSpan w:val="3"/>
            <w:shd w:val="clear" w:color="auto" w:fill="DDDDDD"/>
          </w:tcPr>
          <w:p>
            <w:pPr>
              <w:spacing w:after="0"/>
              <w:rPr>
                <w:sz w:val="16"/>
                <w:szCs w:val="16"/>
                <w:color w:val="auto"/>
              </w:rPr>
            </w:pPr>
          </w:p>
        </w:tc>
        <w:tc>
          <w:tcPr>
            <w:tcW w:w="600" w:type="dxa"/>
            <w:vAlign w:val="bottom"/>
            <w:tcBorders>
              <w:top w:val="single" w:sz="8" w:color="DDDDDD"/>
              <w:bottom w:val="single" w:sz="8" w:color="DDDDDD"/>
            </w:tcBorders>
            <w:gridSpan w:val="5"/>
            <w:shd w:val="clear" w:color="auto" w:fill="DDDDDD"/>
          </w:tcPr>
          <w:p>
            <w:pPr>
              <w:spacing w:after="0"/>
              <w:rPr>
                <w:sz w:val="16"/>
                <w:szCs w:val="16"/>
                <w:color w:val="auto"/>
              </w:rPr>
            </w:pPr>
          </w:p>
        </w:tc>
        <w:tc>
          <w:tcPr>
            <w:tcW w:w="840" w:type="dxa"/>
            <w:vAlign w:val="bottom"/>
            <w:tcBorders>
              <w:top w:val="single" w:sz="8" w:color="DDDDDD"/>
              <w:bottom w:val="single" w:sz="8" w:color="DDDDDD"/>
            </w:tcBorders>
            <w:shd w:val="clear" w:color="auto" w:fill="DDDDDD"/>
          </w:tcPr>
          <w:p>
            <w:pPr>
              <w:spacing w:after="0"/>
              <w:rPr>
                <w:sz w:val="16"/>
                <w:szCs w:val="16"/>
                <w:color w:val="auto"/>
              </w:rPr>
            </w:pPr>
          </w:p>
        </w:tc>
        <w:tc>
          <w:tcPr>
            <w:tcW w:w="280" w:type="dxa"/>
            <w:vAlign w:val="bottom"/>
            <w:tcBorders>
              <w:top w:val="single" w:sz="8" w:color="DDDDDD"/>
              <w:bottom w:val="single" w:sz="8" w:color="DDDDDD"/>
            </w:tcBorders>
            <w:shd w:val="clear" w:color="auto" w:fill="DDDDDD"/>
          </w:tcPr>
          <w:p>
            <w:pPr>
              <w:spacing w:after="0"/>
              <w:rPr>
                <w:sz w:val="16"/>
                <w:szCs w:val="16"/>
                <w:color w:val="auto"/>
              </w:rPr>
            </w:pPr>
          </w:p>
        </w:tc>
        <w:tc>
          <w:tcPr>
            <w:tcW w:w="100" w:type="dxa"/>
            <w:vAlign w:val="bottom"/>
            <w:tcBorders>
              <w:top w:val="single" w:sz="8" w:color="DDDDDD"/>
              <w:bottom w:val="single" w:sz="8" w:color="DDDDDD"/>
            </w:tcBorders>
            <w:shd w:val="clear" w:color="auto" w:fill="DDDDDD"/>
          </w:tcPr>
          <w:p>
            <w:pPr>
              <w:spacing w:after="0"/>
              <w:rPr>
                <w:sz w:val="16"/>
                <w:szCs w:val="16"/>
                <w:color w:val="auto"/>
              </w:rPr>
            </w:pPr>
          </w:p>
        </w:tc>
        <w:tc>
          <w:tcPr>
            <w:tcW w:w="1100" w:type="dxa"/>
            <w:vAlign w:val="bottom"/>
            <w:tcBorders>
              <w:top w:val="single" w:sz="8" w:color="DDDDDD"/>
              <w:bottom w:val="single" w:sz="8" w:color="DDDDDD"/>
            </w:tcBorders>
            <w:shd w:val="clear" w:color="auto" w:fill="DDDDDD"/>
          </w:tcPr>
          <w:p>
            <w:pPr>
              <w:spacing w:after="0"/>
              <w:rPr>
                <w:sz w:val="16"/>
                <w:szCs w:val="16"/>
                <w:color w:val="auto"/>
              </w:rPr>
            </w:pPr>
          </w:p>
        </w:tc>
        <w:tc>
          <w:tcPr>
            <w:tcW w:w="120" w:type="dxa"/>
            <w:vAlign w:val="bottom"/>
            <w:tcBorders>
              <w:top w:val="single" w:sz="8" w:color="DDDDDD"/>
              <w:bottom w:val="single" w:sz="8" w:color="DDDDDD"/>
            </w:tcBorders>
            <w:shd w:val="clear" w:color="auto" w:fill="DDDDDD"/>
          </w:tcPr>
          <w:p>
            <w:pPr>
              <w:spacing w:after="0"/>
              <w:rPr>
                <w:sz w:val="16"/>
                <w:szCs w:val="16"/>
                <w:color w:val="auto"/>
              </w:rPr>
            </w:pPr>
          </w:p>
        </w:tc>
        <w:tc>
          <w:tcPr>
            <w:tcW w:w="1120" w:type="dxa"/>
            <w:vAlign w:val="bottom"/>
            <w:tcBorders>
              <w:top w:val="single" w:sz="8" w:color="DDDDDD"/>
              <w:bottom w:val="single" w:sz="8" w:color="DDDDDD"/>
            </w:tcBorders>
            <w:shd w:val="clear" w:color="auto" w:fill="DDDDDD"/>
          </w:tcPr>
          <w:p>
            <w:pPr>
              <w:spacing w:after="0"/>
              <w:rPr>
                <w:sz w:val="16"/>
                <w:szCs w:val="16"/>
                <w:color w:val="auto"/>
              </w:rPr>
            </w:pPr>
          </w:p>
        </w:tc>
        <w:tc>
          <w:tcPr>
            <w:tcW w:w="100" w:type="dxa"/>
            <w:vAlign w:val="bottom"/>
            <w:tcBorders>
              <w:top w:val="single" w:sz="8" w:color="DDDDDD"/>
              <w:bottom w:val="single" w:sz="8" w:color="DDDDDD"/>
            </w:tcBorders>
            <w:shd w:val="clear" w:color="auto" w:fill="DDDDDD"/>
          </w:tcPr>
          <w:p>
            <w:pPr>
              <w:spacing w:after="0"/>
              <w:rPr>
                <w:sz w:val="16"/>
                <w:szCs w:val="16"/>
                <w:color w:val="auto"/>
              </w:rPr>
            </w:pPr>
          </w:p>
        </w:tc>
        <w:tc>
          <w:tcPr>
            <w:tcW w:w="720" w:type="dxa"/>
            <w:vAlign w:val="bottom"/>
            <w:tcBorders>
              <w:top w:val="single" w:sz="8" w:color="DDDDDD"/>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56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4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40" w:type="dxa"/>
            <w:vAlign w:val="bottom"/>
            <w:gridSpan w:val="6"/>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DDDDDD"/>
          </w:tcPr>
          <w:p>
            <w:pPr>
              <w:ind w:left="200"/>
              <w:spacing w:after="0" w:line="189" w:lineRule="exact"/>
              <w:rPr>
                <w:sz w:val="20"/>
                <w:szCs w:val="20"/>
                <w:color w:val="auto"/>
              </w:rPr>
            </w:pPr>
            <w:r>
              <w:rPr>
                <w:rFonts w:ascii="Times New Roman" w:cs="Times New Roman" w:eastAsia="Times New Roman" w:hAnsi="Times New Roman"/>
                <w:sz w:val="18"/>
                <w:szCs w:val="18"/>
                <w:color w:val="auto"/>
              </w:rPr>
              <w:t>101.INS</w:t>
            </w:r>
          </w:p>
        </w:tc>
        <w:tc>
          <w:tcPr>
            <w:tcW w:w="140" w:type="dxa"/>
            <w:vAlign w:val="bottom"/>
            <w:tcBorders>
              <w:right w:val="single" w:sz="8" w:color="DDDDDD"/>
            </w:tcBorders>
            <w:shd w:val="clear" w:color="auto" w:fill="DDDDDD"/>
          </w:tcPr>
          <w:p>
            <w:pPr>
              <w:spacing w:after="0"/>
              <w:rPr>
                <w:sz w:val="16"/>
                <w:szCs w:val="16"/>
                <w:color w:val="auto"/>
              </w:rPr>
            </w:pPr>
          </w:p>
        </w:tc>
        <w:tc>
          <w:tcPr>
            <w:tcW w:w="5680" w:type="dxa"/>
            <w:vAlign w:val="bottom"/>
            <w:gridSpan w:val="10"/>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c>
          <w:tcPr>
            <w:tcW w:w="84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DDDDDD"/>
          </w:tcPr>
          <w:p>
            <w:pPr>
              <w:spacing w:after="0"/>
              <w:rPr>
                <w:sz w:val="16"/>
                <w:szCs w:val="16"/>
                <w:color w:val="auto"/>
              </w:rPr>
            </w:pPr>
          </w:p>
        </w:tc>
        <w:tc>
          <w:tcPr>
            <w:tcW w:w="140" w:type="dxa"/>
            <w:vAlign w:val="bottom"/>
            <w:tcBorders>
              <w:right w:val="single" w:sz="8" w:color="DDDDDD"/>
            </w:tcBorders>
            <w:shd w:val="clear" w:color="auto" w:fill="DDDDDD"/>
          </w:tcPr>
          <w:p>
            <w:pPr>
              <w:spacing w:after="0"/>
              <w:rPr>
                <w:sz w:val="16"/>
                <w:szCs w:val="16"/>
                <w:color w:val="auto"/>
              </w:rPr>
            </w:pPr>
          </w:p>
        </w:tc>
        <w:tc>
          <w:tcPr>
            <w:tcW w:w="5680" w:type="dxa"/>
            <w:vAlign w:val="bottom"/>
            <w:gridSpan w:val="10"/>
            <w:shd w:val="clear" w:color="auto" w:fill="DDDDDD"/>
          </w:tcPr>
          <w:p>
            <w:pPr>
              <w:spacing w:after="0" w:line="184"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84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1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DDDDDD"/>
          </w:tcPr>
          <w:p>
            <w:pPr>
              <w:spacing w:after="0"/>
              <w:rPr>
                <w:sz w:val="20"/>
                <w:szCs w:val="20"/>
                <w:color w:val="auto"/>
              </w:rPr>
            </w:pPr>
          </w:p>
        </w:tc>
        <w:tc>
          <w:tcPr>
            <w:tcW w:w="140" w:type="dxa"/>
            <w:vAlign w:val="bottom"/>
            <w:tcBorders>
              <w:right w:val="single" w:sz="8" w:color="DDDDDD"/>
            </w:tcBorders>
            <w:shd w:val="clear" w:color="auto" w:fill="DDDDDD"/>
          </w:tcPr>
          <w:p>
            <w:pPr>
              <w:spacing w:after="0"/>
              <w:rPr>
                <w:sz w:val="20"/>
                <w:szCs w:val="20"/>
                <w:color w:val="auto"/>
              </w:rPr>
            </w:pPr>
          </w:p>
        </w:tc>
        <w:tc>
          <w:tcPr>
            <w:tcW w:w="5680" w:type="dxa"/>
            <w:vAlign w:val="bottom"/>
            <w:gridSpan w:val="10"/>
            <w:shd w:val="clear" w:color="auto" w:fill="DDDDDD"/>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4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7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1"/>
                <w:szCs w:val="21"/>
                <w:color w:val="auto"/>
              </w:rPr>
            </w:pPr>
          </w:p>
        </w:tc>
        <w:tc>
          <w:tcPr>
            <w:tcW w:w="5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10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Borders>
              <w:right w:val="single" w:sz="8" w:color="DDDDDD"/>
            </w:tcBorders>
            <w:shd w:val="clear" w:color="auto" w:fill="DDDDDD"/>
          </w:tcPr>
          <w:p>
            <w:pPr>
              <w:spacing w:after="0"/>
              <w:rPr>
                <w:sz w:val="21"/>
                <w:szCs w:val="21"/>
                <w:color w:val="auto"/>
              </w:rPr>
            </w:pPr>
          </w:p>
        </w:tc>
        <w:tc>
          <w:tcPr>
            <w:tcW w:w="5680" w:type="dxa"/>
            <w:vAlign w:val="bottom"/>
            <w:gridSpan w:val="10"/>
            <w:shd w:val="clear" w:color="auto" w:fill="DDDDDD"/>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4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7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1"/>
                <w:szCs w:val="21"/>
                <w:color w:val="auto"/>
              </w:rPr>
            </w:pPr>
          </w:p>
        </w:tc>
        <w:tc>
          <w:tcPr>
            <w:tcW w:w="5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10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Borders>
              <w:right w:val="single" w:sz="8" w:color="DDDDDD"/>
            </w:tcBorders>
            <w:shd w:val="clear" w:color="auto" w:fill="DDDDDD"/>
          </w:tcPr>
          <w:p>
            <w:pPr>
              <w:spacing w:after="0"/>
              <w:rPr>
                <w:sz w:val="21"/>
                <w:szCs w:val="21"/>
                <w:color w:val="auto"/>
              </w:rPr>
            </w:pPr>
          </w:p>
        </w:tc>
        <w:tc>
          <w:tcPr>
            <w:tcW w:w="5680" w:type="dxa"/>
            <w:vAlign w:val="bottom"/>
            <w:gridSpan w:val="10"/>
            <w:shd w:val="clear" w:color="auto" w:fill="DDDDDD"/>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7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1"/>
                <w:szCs w:val="21"/>
                <w:color w:val="auto"/>
              </w:rPr>
            </w:pPr>
          </w:p>
        </w:tc>
        <w:tc>
          <w:tcPr>
            <w:tcW w:w="5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1140" w:hanging="768"/>
        <w:spacing w:after="0"/>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a management contract or compensatory plan or arrangement.</w:t>
      </w:r>
    </w:p>
    <w:p>
      <w:pPr>
        <w:spacing w:after="0" w:line="49" w:lineRule="exact"/>
        <w:rPr>
          <w:rFonts w:ascii="Times New Roman" w:cs="Times New Roman" w:eastAsia="Times New Roman" w:hAnsi="Times New Roman"/>
          <w:sz w:val="18"/>
          <w:szCs w:val="18"/>
          <w:color w:val="auto"/>
        </w:rPr>
      </w:pPr>
    </w:p>
    <w:p>
      <w:pPr>
        <w:ind w:left="1140" w:hanging="111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T-MOBILE US, INC.</w:t>
      </w:r>
    </w:p>
    <w:p>
      <w:pPr>
        <w:spacing w:after="0" w:line="310"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8"/>
          <w:szCs w:val="18"/>
          <w:color w:val="auto"/>
        </w:rPr>
        <w:t>October 28, 2026</w:t>
      </w:r>
      <w:r>
        <w:rPr>
          <w:sz w:val="20"/>
          <w:szCs w:val="20"/>
          <w:color w:val="auto"/>
        </w:rPr>
        <w:tab/>
      </w:r>
      <w:r>
        <w:rPr>
          <w:rFonts w:ascii="Times New Roman" w:cs="Times New Roman" w:eastAsia="Times New Roman" w:hAnsi="Times New Roman"/>
          <w:sz w:val="17"/>
          <w:szCs w:val="17"/>
          <w:color w:val="auto"/>
        </w:rPr>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17145</wp:posOffset>
            </wp:positionV>
            <wp:extent cx="3128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Peter Osvaldik</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121" w:right="3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T-MOBILE US,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OFFER OF EMPLOYMENT LETTER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JESSICA UHL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661797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Jessica:</w:t>
      </w:r>
    </w:p>
    <w:p>
      <w:pPr>
        <w:spacing w:after="0" w:line="25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We are pleased to offer you employment with T-Mobile US,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the terms and conditions described in this offer letter (this “</w:t>
      </w:r>
      <w:r>
        <w:rPr>
          <w:rFonts w:ascii="Times New Roman" w:cs="Times New Roman" w:eastAsia="Times New Roman" w:hAnsi="Times New Roman"/>
          <w:sz w:val="20"/>
          <w:szCs w:val="20"/>
          <w:u w:val="single" w:color="auto"/>
          <w:color w:val="auto"/>
        </w:rPr>
        <w:t>Offer Letter</w:t>
      </w:r>
      <w:r>
        <w:rPr>
          <w:rFonts w:ascii="Times New Roman" w:cs="Times New Roman" w:eastAsia="Times New Roman" w:hAnsi="Times New Roman"/>
          <w:sz w:val="20"/>
          <w:szCs w:val="20"/>
          <w:color w:val="auto"/>
        </w:rPr>
        <w:t>”). We look forward to having you join our team.</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2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Your employment with the Company under this Offer Letter will commence on or around September 1, 2026</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(the actual date on which your employment starts, the “Effective Date”). Your employment will be “at will” and</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 for a specified period of time, meaning that it may be terminated by you or the Company, for any reason or</w:t>
            </w:r>
          </w:p>
        </w:tc>
      </w:tr>
      <w:tr>
        <w:trPr>
          <w:trHeight w:val="230"/>
        </w:trPr>
        <w:tc>
          <w:tcPr>
            <w:tcW w:w="2280" w:type="dxa"/>
            <w:vAlign w:val="bottom"/>
          </w:tcPr>
          <w:p>
            <w:pPr>
              <w:spacing w:after="0"/>
              <w:rPr>
                <w:sz w:val="19"/>
                <w:szCs w:val="19"/>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for no reason whatsoever, with or without notice and with or without cause (the period of your employment with</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the Company under this Offer Letter, the “Term”). The at-will nature of your employment relationship cannot be</w:t>
            </w:r>
          </w:p>
        </w:tc>
      </w:tr>
      <w:tr>
        <w:trPr>
          <w:trHeight w:val="258"/>
        </w:trPr>
        <w:tc>
          <w:tcPr>
            <w:tcW w:w="2280" w:type="dxa"/>
            <w:vAlign w:val="bottom"/>
          </w:tcPr>
          <w:p>
            <w:pPr>
              <w:spacing w:after="0"/>
              <w:rPr>
                <w:sz w:val="22"/>
                <w:szCs w:val="22"/>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changed other than by a written agreement signed by you and a duly authorized Company officer.</w:t>
            </w:r>
          </w:p>
        </w:tc>
      </w:tr>
      <w:tr>
        <w:trPr>
          <w:trHeight w:val="484"/>
        </w:trPr>
        <w:tc>
          <w:tcPr>
            <w:tcW w:w="2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POSITION</w:t>
            </w: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During the Term, you will initially serve as the Chief Financial Officer Designate of the Company, reporting to</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the Company’s Chief Executive Officer. Within thirty (30) days after the Company files its Annual Report on</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10-K for calendar year 2026, it is expected that you will commence service as the Company’s Chief</w:t>
            </w:r>
          </w:p>
        </w:tc>
      </w:tr>
      <w:tr>
        <w:trPr>
          <w:trHeight w:val="230"/>
        </w:trPr>
        <w:tc>
          <w:tcPr>
            <w:tcW w:w="2280" w:type="dxa"/>
            <w:vAlign w:val="bottom"/>
          </w:tcPr>
          <w:p>
            <w:pPr>
              <w:spacing w:after="0"/>
              <w:rPr>
                <w:sz w:val="19"/>
                <w:szCs w:val="19"/>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Financial Officer, reporting to the Company’s Chief Executive Officer (the “Appointment”). You will have such</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duties and authority as are commensurate with your position and you will perform such duties commensurate</w:t>
            </w:r>
          </w:p>
        </w:tc>
      </w:tr>
      <w:tr>
        <w:trPr>
          <w:trHeight w:val="229"/>
        </w:trPr>
        <w:tc>
          <w:tcPr>
            <w:tcW w:w="2280" w:type="dxa"/>
            <w:vAlign w:val="bottom"/>
          </w:tcPr>
          <w:p>
            <w:pPr>
              <w:spacing w:after="0"/>
              <w:rPr>
                <w:sz w:val="19"/>
                <w:szCs w:val="19"/>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with such position as the Company may from time-to-time assign. You will devote your full professional time,</w:t>
            </w:r>
          </w:p>
        </w:tc>
      </w:tr>
      <w:tr>
        <w:trPr>
          <w:trHeight w:val="258"/>
        </w:trPr>
        <w:tc>
          <w:tcPr>
            <w:tcW w:w="2280" w:type="dxa"/>
            <w:vAlign w:val="bottom"/>
          </w:tcPr>
          <w:p>
            <w:pPr>
              <w:spacing w:after="0"/>
              <w:rPr>
                <w:sz w:val="22"/>
                <w:szCs w:val="22"/>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attention and energies to the business of the Company. Your position will be based in Bellevue, Washington.</w:t>
            </w:r>
          </w:p>
        </w:tc>
      </w:tr>
      <w:tr>
        <w:trPr>
          <w:trHeight w:val="484"/>
        </w:trPr>
        <w:tc>
          <w:tcPr>
            <w:tcW w:w="2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BENEFITS</w:t>
            </w: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During the Term, you will be eligible to participate in the employee benefit plans maintained by the Company</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from time to time for the benefit of its similarly-situated executives (which currently include a defined</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contribution 401(k) plan and medical, dental, vision and life insurance programs), to the same extent and on the</w:t>
            </w:r>
          </w:p>
        </w:tc>
      </w:tr>
      <w:tr>
        <w:trPr>
          <w:trHeight w:val="229"/>
        </w:trPr>
        <w:tc>
          <w:tcPr>
            <w:tcW w:w="2280" w:type="dxa"/>
            <w:vAlign w:val="bottom"/>
          </w:tcPr>
          <w:p>
            <w:pPr>
              <w:spacing w:after="0"/>
              <w:rPr>
                <w:sz w:val="19"/>
                <w:szCs w:val="19"/>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same terms as apply to the Company’s similarly-situated executives generally. The Company regularly reviews</w:t>
            </w:r>
          </w:p>
        </w:tc>
      </w:tr>
      <w:tr>
        <w:trPr>
          <w:trHeight w:val="258"/>
        </w:trPr>
        <w:tc>
          <w:tcPr>
            <w:tcW w:w="2280" w:type="dxa"/>
            <w:vAlign w:val="bottom"/>
          </w:tcPr>
          <w:p>
            <w:pPr>
              <w:spacing w:after="0"/>
              <w:rPr>
                <w:sz w:val="22"/>
                <w:szCs w:val="22"/>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its benefits and incentive programs and may change or terminate them in the Company’s sole discretion.</w:t>
            </w:r>
          </w:p>
        </w:tc>
      </w:tr>
      <w:tr>
        <w:trPr>
          <w:trHeight w:val="513"/>
        </w:trPr>
        <w:tc>
          <w:tcPr>
            <w:tcW w:w="2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During the Term, your compensation will be as follows:</w:t>
            </w:r>
          </w:p>
        </w:tc>
      </w:tr>
      <w:tr>
        <w:trPr>
          <w:trHeight w:val="467"/>
        </w:trPr>
        <w:tc>
          <w:tcPr>
            <w:tcW w:w="228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9"/>
              </w:rPr>
              <w:t>Salary:</w:t>
            </w:r>
          </w:p>
        </w:tc>
        <w:tc>
          <w:tcPr>
            <w:tcW w:w="8280" w:type="dxa"/>
            <w:vAlign w:val="bottom"/>
          </w:tcPr>
          <w:p>
            <w:pPr>
              <w:spacing w:after="0"/>
              <w:rPr>
                <w:sz w:val="24"/>
                <w:szCs w:val="24"/>
                <w:color w:val="auto"/>
              </w:rPr>
            </w:pPr>
          </w:p>
        </w:tc>
      </w:tr>
      <w:tr>
        <w:trPr>
          <w:trHeight w:val="511"/>
        </w:trPr>
        <w:tc>
          <w:tcPr>
            <w:tcW w:w="228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20"/>
                <w:szCs w:val="20"/>
                <w:color w:val="auto"/>
              </w:rPr>
              <w:t>During the Term, you will receive an annual base salary (the “Base Salary”) of no less than $975,000</w:t>
            </w:r>
          </w:p>
        </w:tc>
      </w:tr>
      <w:tr>
        <w:trPr>
          <w:trHeight w:val="243"/>
        </w:trPr>
        <w:tc>
          <w:tcPr>
            <w:tcW w:w="2280" w:type="dxa"/>
            <w:vAlign w:val="bottom"/>
          </w:tcPr>
          <w:p>
            <w:pPr>
              <w:spacing w:after="0"/>
              <w:rPr>
                <w:sz w:val="21"/>
                <w:szCs w:val="21"/>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(pro-rated for any partial year of employment), payable in accordance with the Company’s standard payroll</w:t>
            </w:r>
          </w:p>
        </w:tc>
      </w:tr>
      <w:tr>
        <w:trPr>
          <w:trHeight w:val="258"/>
        </w:trPr>
        <w:tc>
          <w:tcPr>
            <w:tcW w:w="2280" w:type="dxa"/>
            <w:vAlign w:val="bottom"/>
          </w:tcPr>
          <w:p>
            <w:pPr>
              <w:spacing w:after="0"/>
              <w:rPr>
                <w:sz w:val="22"/>
                <w:szCs w:val="22"/>
                <w:color w:val="auto"/>
              </w:rPr>
            </w:pPr>
          </w:p>
        </w:tc>
        <w:tc>
          <w:tcPr>
            <w:tcW w:w="89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practices (but no less often than monthly).</w:t>
            </w:r>
          </w:p>
        </w:tc>
      </w:tr>
    </w:tbl>
    <w:p>
      <w:pPr>
        <w:sectPr>
          <w:pgSz w:w="11900" w:h="16838" w:orient="portrait"/>
          <w:cols w:equalWidth="0" w:num="1">
            <w:col w:w="11240"/>
          </w:cols>
          <w:pgMar w:left="320" w:top="117" w:right="339" w:bottom="1440" w:gutter="0" w:footer="0" w:header="0"/>
        </w:sectPr>
      </w:pPr>
    </w:p>
    <w:bookmarkStart w:id="65" w:name="page66"/>
    <w:bookmarkEnd w:id="65"/>
    <w:p>
      <w:pPr>
        <w:ind w:left="1180"/>
        <w:spacing w:after="0"/>
        <w:rPr>
          <w:sz w:val="20"/>
          <w:szCs w:val="20"/>
          <w:color w:val="auto"/>
        </w:rPr>
      </w:pPr>
      <w:r>
        <w:rPr>
          <w:rFonts w:ascii="Times New Roman" w:cs="Times New Roman" w:eastAsia="Times New Roman" w:hAnsi="Times New Roman"/>
          <w:sz w:val="20"/>
          <w:szCs w:val="20"/>
          <w:b w:val="1"/>
          <w:bCs w:val="1"/>
          <w:u w:val="single" w:color="auto"/>
          <w:color w:val="auto"/>
        </w:rPr>
        <w:t>Short-Term Incentive (“STI”):</w:t>
      </w:r>
    </w:p>
    <w:p>
      <w:pPr>
        <w:spacing w:after="0" w:line="287" w:lineRule="exact"/>
        <w:rPr>
          <w:sz w:val="20"/>
          <w:szCs w:val="20"/>
          <w:color w:val="auto"/>
        </w:rPr>
      </w:pPr>
    </w:p>
    <w:p>
      <w:pPr>
        <w:jc w:val="both"/>
        <w:ind w:left="1180" w:firstLine="7"/>
        <w:spacing w:after="0" w:line="254" w:lineRule="auto"/>
        <w:tabs>
          <w:tab w:leader="none" w:pos="181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calendar year commencing during the Term (commencing with calendar year 2026), you will be eligible to earn an annual STI award targeted at no less than 200% of your eligible earnings during such calendar year (“Target STI”).</w:t>
      </w:r>
    </w:p>
    <w:p>
      <w:pPr>
        <w:jc w:val="both"/>
        <w:ind w:left="1180" w:firstLine="7"/>
        <w:spacing w:after="0" w:line="253" w:lineRule="auto"/>
        <w:tabs>
          <w:tab w:leader="none" w:pos="181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STI awards will be based on the achievement of Company goals as determined by the Compensation Committee of the Company’s Board of Directors or the Section 16 Subcommittee thereof (collectively, the “Committee”). Any STI award earned with respect to calendar year 2026 shall be pro-rated based on the portion of the calendar year during which you were employed by the Company.</w:t>
      </w:r>
    </w:p>
    <w:p>
      <w:pPr>
        <w:spacing w:after="0" w:line="2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b w:val="1"/>
          <w:bCs w:val="1"/>
          <w:u w:val="single" w:color="auto"/>
          <w:color w:val="auto"/>
        </w:rPr>
        <w:t>Long-Term Incentive (“LTI”):</w:t>
      </w:r>
    </w:p>
    <w:p>
      <w:pPr>
        <w:spacing w:after="0" w:line="287" w:lineRule="exact"/>
        <w:rPr>
          <w:sz w:val="20"/>
          <w:szCs w:val="20"/>
          <w:color w:val="auto"/>
        </w:rPr>
      </w:pPr>
    </w:p>
    <w:p>
      <w:pPr>
        <w:jc w:val="both"/>
        <w:ind w:left="1180" w:firstLine="7"/>
        <w:spacing w:after="0" w:line="253" w:lineRule="auto"/>
        <w:tabs>
          <w:tab w:leader="none" w:pos="181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calendar year commencing during the Term (commencing with calendar year 2027), you will be eligible for annual grants of LTI awards. Your annual LTI awards will be awarded as and when annual LTI awards are approved by the Committee or its designee for the applicable calendar year and, subject to approval by the Committee or such designee, are expected to have an annual aggregate grant-date target value (as determined by the Committee or such designee) of no less than $9,525,000.</w:t>
      </w:r>
    </w:p>
    <w:p>
      <w:pPr>
        <w:spacing w:after="0" w:line="218" w:lineRule="exact"/>
        <w:rPr>
          <w:rFonts w:ascii="Times New Roman" w:cs="Times New Roman" w:eastAsia="Times New Roman" w:hAnsi="Times New Roman"/>
          <w:sz w:val="20"/>
          <w:szCs w:val="20"/>
          <w:color w:val="auto"/>
        </w:rPr>
      </w:pPr>
    </w:p>
    <w:p>
      <w:pPr>
        <w:jc w:val="both"/>
        <w:ind w:left="1180" w:firstLine="7"/>
        <w:spacing w:after="0" w:line="258" w:lineRule="auto"/>
        <w:tabs>
          <w:tab w:leader="none" w:pos="181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LTI awards will be made in such form and on such terms as the Committee or its designee may determine. Each LTI award will be subject to the terms and conditions of the Company’s 2023 Incentive Award Plan (as amended or superseded from time to time, the “Plan”) and an award agreement prescribed by the Company, which shall evidence the grant of the LTI award.</w:t>
      </w:r>
    </w:p>
    <w:p>
      <w:pPr>
        <w:spacing w:after="0" w:line="199" w:lineRule="exact"/>
        <w:rPr>
          <w:rFonts w:ascii="Times New Roman" w:cs="Times New Roman" w:eastAsia="Times New Roman" w:hAnsi="Times New Roman"/>
          <w:sz w:val="20"/>
          <w:szCs w:val="20"/>
          <w:color w:val="auto"/>
        </w:rPr>
      </w:pPr>
    </w:p>
    <w:p>
      <w:pPr>
        <w:jc w:val="both"/>
        <w:ind w:left="1180" w:firstLine="7"/>
        <w:spacing w:after="0" w:line="258" w:lineRule="auto"/>
        <w:tabs>
          <w:tab w:leader="none" w:pos="181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agreement between you and the Company, no LTI awards shall be granted to you following the date on which either you or the Company provides notice of the termination of your employment with the Company for any reason and ending on the date on which your employment terminates.</w:t>
      </w:r>
    </w:p>
    <w:p>
      <w:pPr>
        <w:spacing w:after="0" w:line="2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b w:val="1"/>
          <w:bCs w:val="1"/>
          <w:u w:val="single" w:color="auto"/>
          <w:color w:val="auto"/>
        </w:rPr>
        <w:t>Sign-On Bonus:</w:t>
      </w:r>
    </w:p>
    <w:p>
      <w:pPr>
        <w:spacing w:after="0" w:line="71" w:lineRule="exact"/>
        <w:rPr>
          <w:sz w:val="20"/>
          <w:szCs w:val="20"/>
          <w:color w:val="auto"/>
        </w:rPr>
      </w:pPr>
    </w:p>
    <w:p>
      <w:pPr>
        <w:jc w:val="both"/>
        <w:ind w:left="1180" w:firstLine="7"/>
        <w:spacing w:after="0" w:line="258" w:lineRule="auto"/>
        <w:tabs>
          <w:tab w:leader="none" w:pos="181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receive a one-time sign-on bonus in an amount equal to $1,000,000 (the “Sign-On Bonus”), payable in cash in a single lump sum amount as soon as administratively practicable (but in no event more than sixty (60) days) after the Effective Date, subject to and conditioned upon your continued employment through the payment date.</w:t>
      </w:r>
    </w:p>
    <w:p>
      <w:pPr>
        <w:spacing w:after="0" w:line="199" w:lineRule="exact"/>
        <w:rPr>
          <w:rFonts w:ascii="Times New Roman" w:cs="Times New Roman" w:eastAsia="Times New Roman" w:hAnsi="Times New Roman"/>
          <w:sz w:val="20"/>
          <w:szCs w:val="20"/>
          <w:color w:val="auto"/>
        </w:rPr>
      </w:pPr>
    </w:p>
    <w:p>
      <w:pPr>
        <w:jc w:val="both"/>
        <w:ind w:left="1180" w:firstLine="7"/>
        <w:spacing w:after="0" w:line="253" w:lineRule="auto"/>
        <w:tabs>
          <w:tab w:leader="none" w:pos="181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your employment with the Company is terminated by the Company for Cause or by you without Good Reason, in either case, prior to the twelve (12)-month anniversary of the Effective Date, you acknowledge and agree that you shall be required to repay to the Company a portion of the Sign-On Bonus equal to (i) the after-tax amount of the Sign-On Bonus, multiplied by (ii) a fraction, the numerator of which is equal to the number of days remaining between the date of such termination and the twelve (12)-month anniversary of the Effective Date and the denominator of which is equal to 365, no later than thirty (30) business days following written demand by the Company therefor.</w:t>
      </w:r>
    </w:p>
    <w:p>
      <w:pPr>
        <w:spacing w:after="0" w:line="29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b w:val="1"/>
          <w:bCs w:val="1"/>
          <w:u w:val="single" w:color="auto"/>
          <w:color w:val="auto"/>
        </w:rPr>
        <w:t>Sign-On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100"/>
          </w:cols>
          <w:pgMar w:left="1440" w:top="1139" w:right="35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SEVERANCE</w:t>
      </w:r>
    </w:p>
    <w:p>
      <w:pPr>
        <w:spacing w:after="0" w:line="20" w:lineRule="exact"/>
        <w:rPr>
          <w:sz w:val="20"/>
          <w:szCs w:val="20"/>
          <w:color w:val="auto"/>
        </w:rPr>
      </w:pPr>
      <w:r>
        <w:rPr>
          <w:sz w:val="20"/>
          <w:szCs w:val="20"/>
          <w:color w:val="auto"/>
        </w:rPr>
        <w:br w:type="column"/>
      </w:r>
    </w:p>
    <w:p>
      <w:pPr>
        <w:jc w:val="both"/>
        <w:ind w:firstLine="7"/>
        <w:spacing w:after="0" w:line="253" w:lineRule="auto"/>
        <w:tabs>
          <w:tab w:leader="none" w:pos="63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within thirty (30) days following the Effective Date (subject to your continued employment through the grant date), the Company will grant to you, under the Plan, one-time LTI awards (the “Sign-On LTI Awards”) with an aggregate target grant-date value (taking into account PRSUs (as defined below) at target level) equal to $9,525,000. The actual number of shares of Company common stock subject to the Sign-On LTI Awards will be determined by dividing such value by the average closing price of the Company’s common stock over the thirty (30) calendar day period ending five (5) business days prior to the grant date, rounded up to the nearest whole share.</w:t>
      </w:r>
    </w:p>
    <w:p>
      <w:pPr>
        <w:spacing w:after="0" w:line="206" w:lineRule="exact"/>
        <w:rPr>
          <w:rFonts w:ascii="Times New Roman" w:cs="Times New Roman" w:eastAsia="Times New Roman" w:hAnsi="Times New Roman"/>
          <w:sz w:val="20"/>
          <w:szCs w:val="20"/>
          <w:color w:val="auto"/>
        </w:rPr>
      </w:pPr>
    </w:p>
    <w:p>
      <w:pPr>
        <w:jc w:val="both"/>
        <w:ind w:firstLine="7"/>
        <w:spacing w:after="0" w:line="253" w:lineRule="auto"/>
        <w:tabs>
          <w:tab w:leader="none" w:pos="63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target value of the Sign-On LTI Awards shall be granted two-thirds (2/3rds) (i.e., $6,350,000) the form of time-based restricted stock units (“RSUs”) and one-third (1/3rd) (i.e., $3,175,000) in the form of performance-based restricted stock units (“PRSUs”), and the Sign-On LTI Awards shall be subject to the same vesting schedules and other terms and conditions (including, without limitation, performance goals) applicable to the awards of RSUs and PRSUs granted to members of the Company’s executive leadership team on February 15, 2026. Each Sign-On LTI Award shall be subject to the terms and conditions of the Plan and an award agreement which will evidence the grant of the Sign-On LTI Award.</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Your employment with the Company may be terminated at any time (i) by the Company with or without Cause or due to you becoming disabled or (ii) by you for or without Good Reason. Your employment with the Company will automatically terminate upon your death.</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your employment is terminated (i) by the Company without Cause (and other than due to your death or you becoming disabled), or (ii) by you for Good Reason, in either case, during the Term, then, subject to the satisfaction of the requirements described in the paragraph immediately following subsection (f) below, you will receive the following payments and benefits from the Company:</w:t>
      </w:r>
    </w:p>
    <w:p>
      <w:pPr>
        <w:spacing w:after="0" w:line="226" w:lineRule="exact"/>
        <w:rPr>
          <w:sz w:val="20"/>
          <w:szCs w:val="20"/>
          <w:color w:val="auto"/>
        </w:rPr>
      </w:pPr>
    </w:p>
    <w:p>
      <w:pPr>
        <w:jc w:val="both"/>
        <w:ind w:firstLine="7"/>
        <w:spacing w:after="0" w:line="261" w:lineRule="auto"/>
        <w:tabs>
          <w:tab w:leader="none" w:pos="48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two (2) times the sum of (i) your then-current Base Salary plus (ii) your then-current target STI award, payable in a single lump-sum amount within seventy-four (74) days following the date of such termination of employment (the “Termination Date”);</w:t>
      </w:r>
    </w:p>
    <w:p>
      <w:pPr>
        <w:spacing w:after="0" w:line="235" w:lineRule="exact"/>
        <w:rPr>
          <w:rFonts w:ascii="Times New Roman" w:cs="Times New Roman" w:eastAsia="Times New Roman" w:hAnsi="Times New Roman"/>
          <w:sz w:val="20"/>
          <w:szCs w:val="20"/>
          <w:color w:val="auto"/>
        </w:rPr>
      </w:pPr>
    </w:p>
    <w:p>
      <w:pPr>
        <w:jc w:val="both"/>
        <w:ind w:firstLine="7"/>
        <w:spacing w:after="0" w:line="239" w:lineRule="auto"/>
        <w:tabs>
          <w:tab w:leader="none" w:pos="48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pro-rata STI award for the calendar year in which the Termination Date occurs, based on the number of days in such calendar year through the Termination Date divided by 365 (or 366, as applicable) and based on actual performance results for such calendar year, payable no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calendar year following the calendar year in which your employment terminates;</w:t>
      </w:r>
    </w:p>
    <w:p>
      <w:pPr>
        <w:spacing w:after="0" w:line="241" w:lineRule="exact"/>
        <w:rPr>
          <w:rFonts w:ascii="Times New Roman" w:cs="Times New Roman" w:eastAsia="Times New Roman" w:hAnsi="Times New Roman"/>
          <w:sz w:val="20"/>
          <w:szCs w:val="20"/>
          <w:color w:val="auto"/>
        </w:rPr>
      </w:pPr>
    </w:p>
    <w:p>
      <w:pPr>
        <w:jc w:val="both"/>
        <w:ind w:firstLine="7"/>
        <w:spacing w:after="0" w:line="261" w:lineRule="auto"/>
        <w:tabs>
          <w:tab w:leader="none" w:pos="56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earned, unpaid STI award for the calendar year ending immediately prior to the calendar year in which the Termination Date occurs, payable in a single lump-sum amount within seventy-four (74) days following the Termination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3" w:lineRule="exact"/>
        <w:rPr>
          <w:rFonts w:ascii="Times New Roman" w:cs="Times New Roman" w:eastAsia="Times New Roman" w:hAnsi="Times New Roman"/>
          <w:sz w:val="20"/>
          <w:szCs w:val="20"/>
          <w:color w:val="auto"/>
        </w:rPr>
      </w:pPr>
    </w:p>
    <w:p>
      <w:pPr>
        <w:ind w:left="3280" w:hanging="106"/>
        <w:spacing w:after="0"/>
        <w:tabs>
          <w:tab w:leader="none" w:pos="32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2">
            <w:col w:w="1560" w:space="720"/>
            <w:col w:w="8920"/>
          </w:cols>
          <w:pgMar w:left="340" w:top="1143" w:right="359" w:bottom="1440" w:gutter="0" w:footer="0" w:header="0"/>
        </w:sectPr>
      </w:pPr>
    </w:p>
    <w:bookmarkStart w:id="67" w:name="page68"/>
    <w:bookmarkEnd w:id="67"/>
    <w:p>
      <w:pPr>
        <w:jc w:val="both"/>
        <w:ind w:left="1180" w:firstLine="7"/>
        <w:spacing w:after="0" w:line="253" w:lineRule="auto"/>
        <w:tabs>
          <w:tab w:leader="none" w:pos="185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outstanding LTI award that is not subject to any performance vesting condition as of the Termination Date (including, to the extent then-outstanding and unvested, your Sign-on LTI Award of RSUs) (each, a “Time-Based Award”) upon your Termination Date, you will vest in that number of shares or units (as applicable) subject to such Time-Based Award that would otherwise vest on the next scheduled vesting date to occur following such termination. Any portion of a Time-Based Award that is unvested as of the Termination Date (after taking into account the accelerated vesting in the preceding sentence) shall be immediately canceled as of the Termination Date;</w:t>
      </w:r>
    </w:p>
    <w:p>
      <w:pPr>
        <w:spacing w:after="0" w:line="233" w:lineRule="exact"/>
        <w:rPr>
          <w:rFonts w:ascii="Times New Roman" w:cs="Times New Roman" w:eastAsia="Times New Roman" w:hAnsi="Times New Roman"/>
          <w:sz w:val="20"/>
          <w:szCs w:val="20"/>
          <w:color w:val="auto"/>
        </w:rPr>
      </w:pPr>
    </w:p>
    <w:p>
      <w:pPr>
        <w:jc w:val="both"/>
        <w:ind w:left="1180" w:firstLine="7"/>
        <w:spacing w:after="0" w:line="249" w:lineRule="auto"/>
        <w:tabs>
          <w:tab w:leader="none" w:pos="167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outstanding LTI award that is subject to any performance vesting condition as of the Termination Date (including, to the extent then-outstanding and unvested, your Sign-on LTI Awards of PRSUs) (each, a “Performance Award”), such Performance Award will remain outstanding through the conclusion of the applicable performance period and, subject to and conditioned upon the satisfaction of the applicable performance conditions, will vest based on the level of achievement of such performance conditions during the performance period, and the actual number of shares or units (as applicable) subject to such Performance Award that will become earned and vested upon or following the conclusion of the performance period (an “Earned Award”) shall be equal to the product of (i) the total number of shares or units (as applicable) subject to the award that would, absent your termination, otherwise become earned and vested based on the level of achievement of the applicable performance conditions during such performance period and (ii) a fraction, the numerator of which is the number of days from the applicable grant date to the Termination Date and the denominator of which is the number of days from the grant date to the applicable vesting date of the Earned Award. Any Earned Award (or portion thereof) shall be payable following the performance period at the same time as such Performance Award would otherwise be payable to you under the applicable award agreement had your employment not terminated (unless subject to any deferral of earned and vested awards elected by you in accordance with the terms of the applicable LTI award agreement(s), in which case such deferral shall dictate payment timing). Any portion of a Performance Award that does not become an Earned Award shall be immediately canceled as of the end of the applicable performance period; and</w:t>
      </w:r>
    </w:p>
    <w:p>
      <w:pPr>
        <w:spacing w:after="0" w:line="254" w:lineRule="exact"/>
        <w:rPr>
          <w:rFonts w:ascii="Times New Roman" w:cs="Times New Roman" w:eastAsia="Times New Roman" w:hAnsi="Times New Roman"/>
          <w:sz w:val="20"/>
          <w:szCs w:val="20"/>
          <w:color w:val="auto"/>
        </w:rPr>
      </w:pPr>
    </w:p>
    <w:p>
      <w:pPr>
        <w:ind w:left="1180" w:right="40" w:firstLine="7"/>
        <w:spacing w:after="0" w:line="255" w:lineRule="auto"/>
        <w:tabs>
          <w:tab w:leader="none" w:pos="1625"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period commencing on the Termination Date and ending on the earlier of the end of the twelfth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full calendar month following the Termination Date or the date on which you become eligible for coverage under a subsequent employer’s group medical and dental plans (in either case, the “COBRA Period”), subject to your valid election to continue healthcare coverage under Section 4980B of the Internal Revenue Code of 1986, as amended (the “Code”), and the regulations thereunder, the Company will continue to provide to you and your dependents, at the Company’s sole cost, coverage under its group medical and dental plans at the same levels in effect on the Termination Date; provided, however, that if (i) any plan pursuant to which such benefits are provided is not, or ceases prior to the expiration of the continuation coverage period to be, exempt from the application of Section 409A (as defined below) under Treasury Regulation Section 1.409A-1(a)(5), (ii) the Company is otherwise unable to continue to cover you or your dependents under its group health plans, or</w:t>
      </w:r>
    </w:p>
    <w:p>
      <w:pPr>
        <w:spacing w:after="0" w:line="8" w:lineRule="exact"/>
        <w:rPr>
          <w:rFonts w:ascii="Times New Roman" w:cs="Times New Roman" w:eastAsia="Times New Roman" w:hAnsi="Times New Roman"/>
          <w:sz w:val="19"/>
          <w:szCs w:val="19"/>
          <w:color w:val="auto"/>
        </w:rPr>
      </w:pPr>
    </w:p>
    <w:p>
      <w:pPr>
        <w:ind w:left="1180" w:right="260" w:firstLine="7"/>
        <w:spacing w:after="0" w:line="253" w:lineRule="auto"/>
        <w:tabs>
          <w:tab w:leader="none" w:pos="152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cannot provide the benefit without violating applicable law (including, without limitation, Section 2716 of the Public Health Service Act), then, in any such case, an amount equal to the dollar value of the balance of the Company’s subsidy shall thereafter be paid to you in substantially equal, then-currently-taxable monthly installments over the COBRA Period (or remaining portion thereof).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460" w:hanging="106"/>
        <w:spacing w:after="0"/>
        <w:tabs>
          <w:tab w:leader="none" w:pos="4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100"/>
          </w:cols>
          <w:pgMar w:left="1440" w:top="1143" w:right="359" w:bottom="1440" w:gutter="0" w:footer="0" w:header="0"/>
        </w:sectPr>
      </w:pPr>
    </w:p>
    <w:bookmarkStart w:id="68" w:name="page69"/>
    <w:bookmarkEnd w:id="68"/>
    <w:p>
      <w:pPr>
        <w:ind w:left="3160" w:right="100"/>
        <w:spacing w:after="0" w:line="253" w:lineRule="auto"/>
        <w:rPr>
          <w:sz w:val="20"/>
          <w:szCs w:val="20"/>
          <w:color w:val="auto"/>
        </w:rPr>
      </w:pPr>
      <w:r>
        <w:rPr>
          <w:rFonts w:ascii="Times New Roman" w:cs="Times New Roman" w:eastAsia="Times New Roman" w:hAnsi="Times New Roman"/>
          <w:sz w:val="20"/>
          <w:szCs w:val="20"/>
          <w:color w:val="auto"/>
        </w:rPr>
        <w:t>As a condition to your receipt of any severance payments and benefits described above, (i) you must execute and deliver to the Company a release of all claims in a form determined solely by the Company (the “Release”), and such Release must become fully effective (including, without limitation, the expiration of any revocation period), no later than sixty (60) days following the Termination Date, and (ii) you must continue to comply with the terms and conditions of the Restrictive Covenant Agreement (as defined below).</w:t>
      </w:r>
    </w:p>
    <w:p>
      <w:pPr>
        <w:spacing w:after="0" w:line="246" w:lineRule="exact"/>
        <w:rPr>
          <w:sz w:val="20"/>
          <w:szCs w:val="20"/>
          <w:color w:val="auto"/>
        </w:rPr>
      </w:pPr>
    </w:p>
    <w:p>
      <w:pPr>
        <w:ind w:left="3160" w:right="120"/>
        <w:spacing w:after="0" w:line="253" w:lineRule="auto"/>
        <w:rPr>
          <w:sz w:val="20"/>
          <w:szCs w:val="20"/>
          <w:color w:val="auto"/>
        </w:rPr>
      </w:pPr>
      <w:r>
        <w:rPr>
          <w:rFonts w:ascii="Times New Roman" w:cs="Times New Roman" w:eastAsia="Times New Roman" w:hAnsi="Times New Roman"/>
          <w:sz w:val="20"/>
          <w:szCs w:val="20"/>
          <w:color w:val="auto"/>
        </w:rPr>
        <w:t>For the avoidance of doubt, if your employment terminates due to a Qualifying Retirement (as defined in the Retirement Benefits Letter Agreement to be entered into by you and the Company in connection with the Appointment (the “Retirement Agreement”)) after your Appointment, you will be eligible to receive the payments and benefits set forth and described in such Retirement Agreement (in lieu of the severance payments and benefits described in this Offer Letter), subject to the terms and conditions of the Retirement Agreement</w:t>
      </w:r>
    </w:p>
    <w:p>
      <w:pPr>
        <w:sectPr>
          <w:pgSz w:w="11900" w:h="16838" w:orient="portrait"/>
          <w:cols w:equalWidth="0" w:num="1">
            <w:col w:w="11200"/>
          </w:cols>
          <w:pgMar w:left="340" w:top="1359" w:right="359" w:bottom="1440" w:gutter="0" w:footer="0" w:header="0"/>
        </w:sect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DEATH;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DISABILITY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your employment terminates due to your death or due to a termination by the Company due to your Disability (as that term is defined in the Plan), in either case, during the Term, then, subject to the satisfaction of the requirements described in the paragraph immediately following subsection (c) below, you (or your estate, as applicable) will receive the following payments and benefits from the Company:</w:t>
      </w:r>
    </w:p>
    <w:p>
      <w:pPr>
        <w:spacing w:after="0" w:line="192" w:lineRule="exact"/>
        <w:rPr>
          <w:sz w:val="20"/>
          <w:szCs w:val="20"/>
          <w:color w:val="auto"/>
        </w:rPr>
      </w:pPr>
    </w:p>
    <w:p>
      <w:pPr>
        <w:sectPr>
          <w:pgSz w:w="11900" w:h="16838" w:orient="portrait"/>
          <w:cols w:equalWidth="0" w:num="2">
            <w:col w:w="2440" w:space="720"/>
            <w:col w:w="8040"/>
          </w:cols>
          <w:pgMar w:left="340" w:top="1359" w:right="359" w:bottom="1440" w:gutter="0" w:footer="0" w:header="0"/>
          <w:type w:val="continuous"/>
        </w:sectPr>
      </w:pPr>
    </w:p>
    <w:p>
      <w:pPr>
        <w:ind w:left="3160"/>
        <w:spacing w:after="0" w:line="283" w:lineRule="auto"/>
        <w:rPr>
          <w:sz w:val="20"/>
          <w:szCs w:val="20"/>
          <w:color w:val="auto"/>
        </w:rPr>
      </w:pPr>
      <w:r>
        <w:rPr>
          <w:rFonts w:ascii="Times New Roman" w:cs="Times New Roman" w:eastAsia="Times New Roman" w:hAnsi="Times New Roman"/>
          <w:sz w:val="20"/>
          <w:szCs w:val="20"/>
          <w:color w:val="auto"/>
        </w:rPr>
        <w:t>(a) The Target STI award for the calendar year in which the Termination Date occurs, payable no later than seventy-four (74) days following the Termination Date;</w:t>
      </w:r>
    </w:p>
    <w:p>
      <w:pPr>
        <w:spacing w:after="0" w:line="146" w:lineRule="exact"/>
        <w:rPr>
          <w:sz w:val="20"/>
          <w:szCs w:val="20"/>
          <w:color w:val="auto"/>
        </w:rPr>
      </w:pPr>
    </w:p>
    <w:p>
      <w:pPr>
        <w:jc w:val="both"/>
        <w:ind w:left="3160"/>
        <w:spacing w:after="0" w:line="261" w:lineRule="auto"/>
        <w:rPr>
          <w:sz w:val="20"/>
          <w:szCs w:val="20"/>
          <w:color w:val="auto"/>
        </w:rPr>
      </w:pPr>
      <w:r>
        <w:rPr>
          <w:rFonts w:ascii="Times New Roman" w:cs="Times New Roman" w:eastAsia="Times New Roman" w:hAnsi="Times New Roman"/>
          <w:sz w:val="20"/>
          <w:szCs w:val="20"/>
          <w:color w:val="auto"/>
        </w:rPr>
        <w:t>(b) Any earned, unpaid STI award for the calendar year ending immediately prior to the calendar year in which the Termination Date occurs, payable in a single lump-sum amount within seventy-four (74) days following the Termination Date; and</w:t>
      </w:r>
    </w:p>
    <w:p>
      <w:pPr>
        <w:spacing w:after="0" w:line="181" w:lineRule="exact"/>
        <w:rPr>
          <w:sz w:val="20"/>
          <w:szCs w:val="20"/>
          <w:color w:val="auto"/>
        </w:rPr>
      </w:pPr>
    </w:p>
    <w:p>
      <w:pPr>
        <w:jc w:val="both"/>
        <w:ind w:left="3160"/>
        <w:spacing w:after="0" w:line="258" w:lineRule="auto"/>
        <w:rPr>
          <w:sz w:val="20"/>
          <w:szCs w:val="20"/>
          <w:color w:val="auto"/>
        </w:rPr>
      </w:pPr>
      <w:r>
        <w:rPr>
          <w:rFonts w:ascii="Times New Roman" w:cs="Times New Roman" w:eastAsia="Times New Roman" w:hAnsi="Times New Roman"/>
          <w:sz w:val="20"/>
          <w:szCs w:val="20"/>
          <w:color w:val="auto"/>
        </w:rPr>
        <w:t>(c) Vesting of any LTI awards that are outstanding as of the Termination Date shall be determined under and in accordance with the terms of the Plan and applicable award agreement, which terms shall be no less favorable than applicable to all other “executive officers” of the Company (as defined in Rule 16a-1(f) under the Securities Exchange Act of 1934).</w:t>
      </w:r>
    </w:p>
    <w:p>
      <w:pPr>
        <w:spacing w:after="0" w:line="172" w:lineRule="exact"/>
        <w:rPr>
          <w:sz w:val="20"/>
          <w:szCs w:val="20"/>
          <w:color w:val="auto"/>
        </w:rPr>
      </w:pPr>
    </w:p>
    <w:p>
      <w:pPr>
        <w:jc w:val="both"/>
        <w:ind w:left="3160"/>
        <w:spacing w:after="0" w:line="257" w:lineRule="auto"/>
        <w:rPr>
          <w:sz w:val="20"/>
          <w:szCs w:val="20"/>
          <w:color w:val="auto"/>
        </w:rPr>
      </w:pPr>
      <w:r>
        <w:rPr>
          <w:rFonts w:ascii="Times New Roman" w:cs="Times New Roman" w:eastAsia="Times New Roman" w:hAnsi="Times New Roman"/>
          <w:sz w:val="20"/>
          <w:szCs w:val="20"/>
          <w:color w:val="auto"/>
        </w:rPr>
        <w:t>As a condition to your (or your estate’s) receipt of any payments and benefits described above, (i) you (or your estate, as applicable) must execute and deliver to the Company the Release and such Release must become fully effective (including, without limitation, the expiration of any revocation period), no later than sixty (60) days following the Termination Date, and (ii) if applicable, you must continue to comply with the terms and conditions of the Restrictive Covenant Agreement.</w:t>
      </w:r>
    </w:p>
    <w:p>
      <w:pPr>
        <w:sectPr>
          <w:pgSz w:w="11900" w:h="16838" w:orient="portrait"/>
          <w:cols w:equalWidth="0" w:num="1">
            <w:col w:w="11200"/>
          </w:cols>
          <w:pgMar w:left="340" w:top="135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- 5 -</w:t>
      </w:r>
    </w:p>
    <w:p>
      <w:pPr>
        <w:sectPr>
          <w:pgSz w:w="11900" w:h="16838" w:orient="portrait"/>
          <w:cols w:equalWidth="0" w:num="1">
            <w:col w:w="11200"/>
          </w:cols>
          <w:pgMar w:left="340" w:top="1359"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9"/>
          <w:szCs w:val="19"/>
          <w:b w:val="1"/>
          <w:bCs w:val="1"/>
          <w:color w:val="auto"/>
        </w:rPr>
        <w:t>RESTRICTIVE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20"/>
          <w:szCs w:val="20"/>
          <w:color w:val="auto"/>
        </w:rPr>
        <w:t>Concurrently with the execution of this Offer Letter, you acknowledge and agree that you and the Company are entering into the Company’s standard restrictive covenant and confidentiality agreement (the “Restrictive Covenant Agreement”), and that you will be subject to and remain bound by the terms and conditions of such Restrictive Covenant Agreement.</w:t>
      </w:r>
    </w:p>
    <w:p>
      <w:pPr>
        <w:spacing w:after="0" w:line="186" w:lineRule="exact"/>
        <w:rPr>
          <w:sz w:val="20"/>
          <w:szCs w:val="20"/>
          <w:color w:val="auto"/>
        </w:rPr>
      </w:pPr>
    </w:p>
    <w:p>
      <w:pPr>
        <w:sectPr>
          <w:pgSz w:w="11900" w:h="16838" w:orient="portrait"/>
          <w:cols w:equalWidth="0" w:num="2">
            <w:col w:w="2720" w:space="720"/>
            <w:col w:w="7760"/>
          </w:cols>
          <w:pgMar w:left="340" w:top="1139" w:right="359" w:bottom="1440" w:gutter="0" w:footer="0" w:header="0"/>
        </w:sectPr>
      </w:pPr>
    </w:p>
    <w:p>
      <w:pPr>
        <w:jc w:val="both"/>
        <w:ind w:left="3440"/>
        <w:spacing w:after="0" w:line="249" w:lineRule="auto"/>
        <w:rPr>
          <w:sz w:val="20"/>
          <w:szCs w:val="20"/>
          <w:color w:val="auto"/>
        </w:rPr>
      </w:pPr>
      <w:r>
        <w:rPr>
          <w:rFonts w:ascii="Times New Roman" w:cs="Times New Roman" w:eastAsia="Times New Roman" w:hAnsi="Times New Roman"/>
          <w:sz w:val="20"/>
          <w:szCs w:val="20"/>
          <w:color w:val="auto"/>
        </w:rPr>
        <w:t>Notwithstanding any provision of the Restrictive Covenant Agreement to the contrary, you understand that nothing contained herein or in the Restrictive Covenant Agreement is intended to or will prohibit you from (i) filing a charge with, reporting possible violations of federal law or regulation to, participating in any investigation by, or cooperating with any federal, state or local governmental agency or entity or making other disclosures that are protected under the whistleblower provisions of applicable law or regulation, without advance notice to the Company and without having to obtain the Company’s prior authorization; (ii) communicating directly with, cooperating with, or providing information (including trade secrets) to, or receiving financial awards from, any federal, state or local government agency (including, but not limited to, the U.S. Securities and Exchange Commission, the U.S. Commodity Futures Trading Commission, the U.S. Department of Justice, the U.S. Equal Employment Opportunity Commission or the U.S. National Labor Relations Board), and you shall not be required to notify the Company of any such communications; (iii) exercising any rights you may have under Section 7 of the U.S. National Labor Relations Act, such as the right to engage in concerted activity, including collective action or discussion concerning wages or working conditions; (iv) discussing or disclosing information about unlawful acts in the workplace, such as harassment or discrimination based on a protected characteristic or any other conduct that you have reason to believe is unlawful; and (v) engaging in any activity protected by applicable federal, state or local whistleblower protection laws.</w:t>
      </w:r>
    </w:p>
    <w:p>
      <w:pPr>
        <w:spacing w:after="0" w:line="219" w:lineRule="exact"/>
        <w:rPr>
          <w:sz w:val="20"/>
          <w:szCs w:val="20"/>
          <w:color w:val="auto"/>
        </w:rPr>
      </w:pPr>
    </w:p>
    <w:p>
      <w:pPr>
        <w:jc w:val="both"/>
        <w:ind w:left="3440"/>
        <w:spacing w:after="0" w:line="250" w:lineRule="auto"/>
        <w:rPr>
          <w:sz w:val="20"/>
          <w:szCs w:val="20"/>
          <w:color w:val="auto"/>
        </w:rPr>
      </w:pPr>
      <w:r>
        <w:rPr>
          <w:rFonts w:ascii="Times New Roman" w:cs="Times New Roman" w:eastAsia="Times New Roman" w:hAnsi="Times New Roman"/>
          <w:sz w:val="20"/>
          <w:szCs w:val="20"/>
          <w:color w:val="auto"/>
        </w:rPr>
        <w:t>Notwithstanding any provision of the Restrictive Covenant Agreement to the contrary, you understand that pursuant to 18 USC Section 1833(b), (1) you will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and (2) if you file a lawsuit for retaliation by an employer for reporting a suspected violation of law, you may disclose a trade secret to your attorney and use the trade secret information in the court proceeding, if you (A) file any document containing the trade secret under seal; and (B) do not disclose a trade secret, except pursuant to court order.</w:t>
      </w:r>
    </w:p>
    <w:p>
      <w:pPr>
        <w:sectPr>
          <w:pgSz w:w="11900" w:h="16838" w:orient="portrait"/>
          <w:cols w:equalWidth="0" w:num="1">
            <w:col w:w="11200"/>
          </w:cols>
          <w:pgMar w:left="340" w:top="1139" w:right="35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RESTRICTION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represent and warrant that you have provided to the Company complete and accurate copies of all agreements containing restrictive covenants to which you are bound as of the date on which you execute this Offer Letter (including, without limitation, any non-competition, non-solicitation, confidentiality or similar agreements), and that you have not withheld any information regarding any such restrictions that could impair your commencement of (or, following the Effective Date, continued) employment with the Company.</w:t>
      </w:r>
    </w:p>
    <w:p>
      <w:pPr>
        <w:spacing w:after="0" w:line="200" w:lineRule="exact"/>
        <w:rPr>
          <w:sz w:val="20"/>
          <w:szCs w:val="20"/>
          <w:color w:val="auto"/>
        </w:rPr>
      </w:pPr>
    </w:p>
    <w:p>
      <w:pPr>
        <w:sectPr>
          <w:pgSz w:w="11900" w:h="16838" w:orient="portrait"/>
          <w:cols w:equalWidth="0" w:num="2">
            <w:col w:w="2720" w:space="720"/>
            <w:col w:w="7760"/>
          </w:cols>
          <w:pgMar w:left="340" w:top="113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- 6 -</w:t>
      </w:r>
    </w:p>
    <w:p>
      <w:pPr>
        <w:sectPr>
          <w:pgSz w:w="11900" w:h="16838" w:orient="portrait"/>
          <w:cols w:equalWidth="0" w:num="1">
            <w:col w:w="11200"/>
          </w:cols>
          <w:pgMar w:left="340" w:top="1139"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9"/>
          <w:szCs w:val="19"/>
          <w:b w:val="1"/>
          <w:bCs w:val="1"/>
          <w:color w:val="auto"/>
        </w:rPr>
        <w:t>CODE SECTIONS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20"/>
          <w:szCs w:val="20"/>
          <w:color w:val="auto"/>
        </w:rPr>
        <w:t>The payments and benefits described in this Offer Letter are intended to comply with or be exempt from Section 409A of the Code (“Section 409A”). See Attachment B, which is hereby incorporated into this Offer Letter, for additional details. In addition, you acknowledge and agree that the payments and benefits described in this Offer Letter (in addition to any other payments and benefits payable to you by the Company or any affiliate thereof) may be subject to reduction as set forth on Attachment C, which is hereby incorporated into this Offer Letter.</w:t>
      </w:r>
    </w:p>
    <w:p>
      <w:pPr>
        <w:spacing w:after="0" w:line="200" w:lineRule="exact"/>
        <w:rPr>
          <w:sz w:val="20"/>
          <w:szCs w:val="20"/>
          <w:color w:val="auto"/>
        </w:rPr>
      </w:pPr>
    </w:p>
    <w:p>
      <w:pPr>
        <w:sectPr>
          <w:pgSz w:w="11900" w:h="16838" w:orient="portrait"/>
          <w:cols w:equalWidth="0" w:num="2">
            <w:col w:w="2780" w:space="720"/>
            <w:col w:w="7700"/>
          </w:cols>
          <w:pgMar w:left="340" w:top="1139" w:right="359" w:bottom="1440" w:gutter="0" w:footer="0" w:header="0"/>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SUCCESSORS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Offer Letter is personal to you and, without the prior written consent of the Company, shall not be assignable by you other than by will or the laws of descent and distribution. This Offer Letter shall inure to the benefit of and be binding upon the Company and its successors and assigns.</w:t>
      </w:r>
    </w:p>
    <w:p>
      <w:pPr>
        <w:spacing w:after="0" w:line="200" w:lineRule="exact"/>
        <w:rPr>
          <w:sz w:val="20"/>
          <w:szCs w:val="20"/>
          <w:color w:val="auto"/>
        </w:rPr>
      </w:pPr>
    </w:p>
    <w:p>
      <w:pPr>
        <w:sectPr>
          <w:pgSz w:w="11900" w:h="16838" w:orient="portrait"/>
          <w:cols w:equalWidth="0" w:num="2">
            <w:col w:w="2780" w:space="720"/>
            <w:col w:w="7700"/>
          </w:cols>
          <w:pgMar w:left="340" w:top="1139" w:right="3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WITHHOLDING</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All compensation and other benefits payable to or on behalf of you pursuant to this Offer Letter shall be subject to such deductions and withholdings as may be agreed to by you or required by applicable law, rule or regulation or Company policy.</w:t>
      </w:r>
    </w:p>
    <w:p>
      <w:pPr>
        <w:spacing w:after="0" w:line="200" w:lineRule="exact"/>
        <w:rPr>
          <w:sz w:val="20"/>
          <w:szCs w:val="20"/>
          <w:color w:val="auto"/>
        </w:rPr>
      </w:pPr>
    </w:p>
    <w:p>
      <w:pPr>
        <w:sectPr>
          <w:pgSz w:w="11900" w:h="16838" w:orient="portrait"/>
          <w:cols w:equalWidth="0" w:num="2">
            <w:col w:w="2780" w:space="720"/>
            <w:col w:w="7700"/>
          </w:cols>
          <w:pgMar w:left="340" w:top="1139" w:right="35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CLAWBACK</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acknowledge and agree that any incentive compensation provided by the Company to you under this Offer Letter or otherwise may be subject to recovery by the Company under and in accordance with any Company clawback or recoupment policy in effect on the Effective Date or as may be adopted or maintained by the Company following the Effective Date, including the Company’s Amended and Restated Executive Incentive Compensation Recoupment Policy as adopted October 2, 2023, as amended from time to time (or any successor policy thereto).</w:t>
      </w:r>
    </w:p>
    <w:p>
      <w:pPr>
        <w:spacing w:after="0" w:line="200" w:lineRule="exact"/>
        <w:rPr>
          <w:sz w:val="20"/>
          <w:szCs w:val="20"/>
          <w:color w:val="auto"/>
        </w:rPr>
      </w:pPr>
    </w:p>
    <w:p>
      <w:pPr>
        <w:sectPr>
          <w:pgSz w:w="11900" w:h="16838" w:orient="portrait"/>
          <w:cols w:equalWidth="0" w:num="2">
            <w:col w:w="2780" w:space="720"/>
            <w:col w:w="7700"/>
          </w:cols>
          <w:pgMar w:left="340" w:top="1139" w:right="35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DISPUTE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RESOLUTION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Except for any claims (i) arising out of, or relating to, your Restrictive Covenant Agreement and/or any other written and fully executed agreements to which you and the Company or an affiliate thereof are parties that expressly provide for a different dispute resolution mechanism, or (ii) as to which applicable law not preempted by the Federal Arbitration Act prohibits resolution by binding arbitration thereof, any controversy, claim or dispute arising out of or relating to this Offer Letter or your employment with the Company or termination thereof, either during the existence of the employment relationship or afterward, and including, but not limited to, any common law or statutory claims for wrongful discharge, discrimination or unpaid compensation, shall be resolved exclusively by arbitration in King County, Washington, conducted in accordance with the then prevailing commercial arbitration rules of the American Arbitration Association, with one arbitrator designated in accordance with those rules. The parties agree to abide by all decisions and awards rendered in such proceedings. Such decisions and awards rendered by the arbitrator shall be final and conclusive and may be entered in any court having jurisdiction thereof as a basis of judgment and of the issuance of execution for its collection. All such controversies, claims or disputes shall be settled in this manner in lieu of any action at law or equity; provided, however, that nothing in this paragraph shall be construed as precluding either party from bringing an action for injunctive relief or other equitable relief. In any such dispute, the prevailing party shall be entitled to its or his attorneys’ fees and costs, in addition to any other relief that may be awarded. In accordance with the terms of the Restrictive Covenant Agreement, the exclusive venue for claims arising out of, or related to, the Restrictive Covenant Agreement shall be the state and Federal courts of King County, Washington.</w:t>
      </w:r>
    </w:p>
    <w:p>
      <w:pPr>
        <w:spacing w:after="0" w:line="200" w:lineRule="exact"/>
        <w:rPr>
          <w:sz w:val="20"/>
          <w:szCs w:val="20"/>
          <w:color w:val="auto"/>
        </w:rPr>
      </w:pPr>
    </w:p>
    <w:p>
      <w:pPr>
        <w:sectPr>
          <w:pgSz w:w="11900" w:h="16838" w:orient="portrait"/>
          <w:cols w:equalWidth="0" w:num="2">
            <w:col w:w="2780" w:space="720"/>
            <w:col w:w="7700"/>
          </w:cols>
          <w:pgMar w:left="340" w:top="113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- 7 -</w:t>
      </w:r>
    </w:p>
    <w:p>
      <w:pPr>
        <w:sectPr>
          <w:pgSz w:w="11900" w:h="16838" w:orient="portrait"/>
          <w:cols w:equalWidth="0" w:num="1">
            <w:col w:w="11200"/>
          </w:cols>
          <w:pgMar w:left="340" w:top="1139" w:right="359" w:bottom="1440" w:gutter="0" w:footer="0" w:header="0"/>
          <w:type w:val="continuous"/>
        </w:sectPr>
      </w:pPr>
    </w:p>
    <w:bookmarkStart w:id="71" w:name="page72"/>
    <w:bookmarkEnd w:id="71"/>
    <w:p>
      <w:pPr>
        <w:ind w:left="20"/>
        <w:spacing w:after="0"/>
        <w:rPr>
          <w:sz w:val="20"/>
          <w:szCs w:val="20"/>
          <w:color w:val="auto"/>
        </w:rPr>
      </w:pPr>
      <w:r>
        <w:rPr>
          <w:rFonts w:ascii="Times New Roman" w:cs="Times New Roman" w:eastAsia="Times New Roman" w:hAnsi="Times New Roman"/>
          <w:sz w:val="20"/>
          <w:szCs w:val="20"/>
          <w:b w:val="1"/>
          <w:bCs w:val="1"/>
          <w:color w:val="auto"/>
        </w:rPr>
        <w:t>ENTIRE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AGREEMENT</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20"/>
          <w:szCs w:val="20"/>
          <w:color w:val="auto"/>
        </w:rPr>
        <w:t>This Offer Letter, along with the Restrictive Covenant Agreement, Retirement Agreement, the Plan and your STI and LTI award agreements, embody the entire agreement and understanding between the parties with respect to the subject matters hereof (including but not limited to your compensation terms) and supersedes all prior oral and written agreements and understandings between the Company and you with respect to the subject matters hereof, and it can only be modified in a fully executed written agreement between you and a duly authorized Company officer. It may be executed by facsimile and in counterparts which, taken together, shall constitute one original. To the extent the provisions of this Offer Letter are inconsistent with the terms of any underlying compensation plan or program, including without limitation any annual performance bonus plan or the Plan, the terms of this Offer Letter shall control. Notwithstanding the foregoing or anything herein to the contrary, to the extent that the Plan or any STI or LTI award agreement provides for more favorable treatment to you of your STI award(s) and/or LTI award(s) than the terms of this Offer Letter, the terms of the Plan or award agreement (as applicable) shall control. For avoidance of doubt, this Offer Letter is not intended to deprive you of any right, entitlement or protection (e.g., indemnification and insurance), in any case, that is not inconsistent with this Offer Letter and that you may have under any other agreement, plan, or policy of the Company applicable to you that may provide more favorable treatment than this Offer Letter, nor is it intended to exclude you from being eligible to receive any employee benefits (provided that such benefits would not result in you receiving a duplication of benefits) that may in the future be broadly provided to similarly-situated employees. Similarly, for avoidance of doubt, this Offer Letter is not intended to relieve you of obligations to the Company or requirements of the Company set forth in any other written agreement, plan, or policy of the Company applicable to you (including, without limitation, the Company’s Amended and Restated Executive Incentive Compensation Recoupment Policy as adopted on October 2, 2023, as amended from time to time), unless such obligations or requirements are expressly contrary to a commitment in this Offer Letter</w:t>
      </w:r>
    </w:p>
    <w:p>
      <w:pPr>
        <w:spacing w:after="0" w:line="200" w:lineRule="exact"/>
        <w:rPr>
          <w:sz w:val="20"/>
          <w:szCs w:val="20"/>
          <w:color w:val="auto"/>
        </w:rPr>
      </w:pPr>
    </w:p>
    <w:p>
      <w:pPr>
        <w:sectPr>
          <w:pgSz w:w="11900" w:h="16838" w:orient="portrait"/>
          <w:cols w:equalWidth="0" w:num="2">
            <w:col w:w="2040" w:space="720"/>
            <w:col w:w="8460"/>
          </w:cols>
          <w:pgMar w:left="320" w:top="1139" w:right="359" w:bottom="1440" w:gutter="0" w:footer="0" w:header="0"/>
        </w:sectPr>
      </w:pP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GOVERNING</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LAW</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Offer Letter shall be exclusively governed by and interpreted under the laws of the State of Washington.</w:t>
      </w:r>
    </w:p>
    <w:p>
      <w:pPr>
        <w:spacing w:after="0" w:line="200" w:lineRule="exact"/>
        <w:rPr>
          <w:sz w:val="20"/>
          <w:szCs w:val="20"/>
          <w:color w:val="auto"/>
        </w:rPr>
      </w:pPr>
    </w:p>
    <w:p>
      <w:pPr>
        <w:sectPr>
          <w:pgSz w:w="11900" w:h="16838" w:orient="portrait"/>
          <w:cols w:equalWidth="0" w:num="2">
            <w:col w:w="2040" w:space="720"/>
            <w:col w:w="8460"/>
          </w:cols>
          <w:pgMar w:left="320" w:top="1139" w:right="359" w:bottom="1440" w:gutter="0" w:footer="0" w:header="0"/>
          <w:type w:val="continuous"/>
        </w:sectPr>
      </w:pP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Please indicate your acceptance of, and agreement to, the terms and conditions outlined above by signing and dating this Offer Letter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220"/>
          </w:cols>
          <w:pgMar w:left="320" w:top="1139" w:right="359" w:bottom="1440" w:gutter="0" w:footer="0" w:header="0"/>
          <w:type w:val="continuous"/>
        </w:sectPr>
      </w:pPr>
    </w:p>
    <w:bookmarkStart w:id="72" w:name="page73"/>
    <w:bookmarkEnd w:id="72"/>
    <w:p>
      <w:pPr>
        <w:ind w:left="1400"/>
        <w:spacing w:after="0"/>
        <w:rPr>
          <w:sz w:val="20"/>
          <w:szCs w:val="20"/>
          <w:color w:val="auto"/>
        </w:rPr>
      </w:pPr>
      <w:r>
        <w:rPr>
          <w:rFonts w:ascii="Times New Roman" w:cs="Times New Roman" w:eastAsia="Times New Roman" w:hAnsi="Times New Roman"/>
          <w:sz w:val="20"/>
          <w:szCs w:val="20"/>
          <w:color w:val="auto"/>
        </w:rPr>
        <w:t>Sincerely,</w:t>
      </w:r>
    </w:p>
    <w:p>
      <w:pPr>
        <w:spacing w:after="0" w:line="2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b w:val="1"/>
          <w:bCs w:val="1"/>
          <w:color w:val="auto"/>
        </w:rPr>
        <w:t>T-MOBILE US, INC.</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Deeanne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-10795</wp:posOffset>
            </wp:positionV>
            <wp:extent cx="9036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Deeanne King, Chief People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AGREED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ACCEPTED </w:t>
      </w:r>
      <w:r>
        <w:rPr>
          <w:rFonts w:ascii="Times New Roman" w:cs="Times New Roman" w:eastAsia="Times New Roman" w:hAnsi="Times New Roman"/>
          <w:sz w:val="20"/>
          <w:szCs w:val="20"/>
          <w:color w:val="auto"/>
        </w:rPr>
        <w:t>as of the date below:</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Jessica Uhl</w:t>
            </w:r>
          </w:p>
        </w:tc>
        <w:tc>
          <w:tcPr>
            <w:tcW w:w="19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color w:val="auto"/>
              </w:rPr>
              <w:t>09/01/26</w:t>
            </w:r>
          </w:p>
        </w:tc>
      </w:tr>
      <w:tr>
        <w:trPr>
          <w:trHeight w:val="27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Jessica Uhl</w:t>
            </w:r>
          </w:p>
        </w:tc>
        <w:tc>
          <w:tcPr>
            <w:tcW w:w="1900" w:type="dxa"/>
            <w:vAlign w:val="bottom"/>
          </w:tcPr>
          <w:p>
            <w:pPr>
              <w:jc w:val="right"/>
              <w:ind w:right="1241"/>
              <w:spacing w:after="0"/>
              <w:rPr>
                <w:sz w:val="20"/>
                <w:szCs w:val="20"/>
                <w:color w:val="auto"/>
              </w:rPr>
            </w:pPr>
            <w:r>
              <w:rPr>
                <w:rFonts w:ascii="Times New Roman" w:cs="Times New Roman" w:eastAsia="Times New Roman" w:hAnsi="Times New Roman"/>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139"/>
          </w:cols>
          <w:pgMar w:left="320" w:top="1089"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ATTACHMENT A</w:t>
      </w:r>
    </w:p>
    <w:p>
      <w:pPr>
        <w:spacing w:after="0" w:line="260" w:lineRule="exact"/>
        <w:rPr>
          <w:sz w:val="20"/>
          <w:szCs w:val="20"/>
          <w:color w:val="auto"/>
        </w:rPr>
      </w:pPr>
    </w:p>
    <w:p>
      <w:pPr>
        <w:jc w:val="both"/>
        <w:ind w:left="660" w:hanging="652"/>
        <w:spacing w:after="0" w:line="249" w:lineRule="auto"/>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xml:space="preserve">” shall be defined as any one of the following: (i) your gross neglect or willful material breach of your principal employment responsibilities, (ii) a final judicial adjudication that you are guilty of any felony (other than a law, rule or regulation relating to a traffic violation or other similar offense that has no material, adverse effect on the Company, Deutsche Telekom AG or their respective affiliates), (iii) your breach of the Restrictive Covenant Agreement or any other written non-competition, non-solicitation or confidentiality covenant between you and the Company or any affiliate of the Company (other than a </w:t>
      </w:r>
      <w:r>
        <w:rPr>
          <w:rFonts w:ascii="Times New Roman" w:cs="Times New Roman" w:eastAsia="Times New Roman" w:hAnsi="Times New Roman"/>
          <w:sz w:val="20"/>
          <w:szCs w:val="20"/>
          <w:i w:val="1"/>
          <w:iCs w:val="1"/>
          <w:color w:val="auto"/>
        </w:rPr>
        <w:t>de minimis</w:t>
      </w:r>
      <w:r>
        <w:rPr>
          <w:rFonts w:ascii="Times New Roman" w:cs="Times New Roman" w:eastAsia="Times New Roman" w:hAnsi="Times New Roman"/>
          <w:sz w:val="20"/>
          <w:szCs w:val="20"/>
          <w:color w:val="auto"/>
        </w:rPr>
        <w:t xml:space="preserve"> breach), (iv) fraudulent conduct in the course of your employment with the Company as determined by a court of competent jurisdiction, (v) your unlawful discrimination, harassment, or retaliation, assault or other violent act toward any employee or third party, or other act or omission, in each case that in the reasonable and good faith view of the Company’s Board of Directors constitutes a material breach of the Company’s or one of its affiliates’ written policies or Code of Conduct, or (vi) your material breach of any other obligation which, if reasonably curable, continues uncured for a period of thirty (30) days after notice thereof by the Company or any of its affiliates (and which is demonstrably injurious to the Company or an affiliate thereof). Notwithstanding the foregoing, no cure period shall be required under the foregoing clause (vi) if the breach is a recurrence of conduct that was the subject of a prior notice under such clause (vi) for which a thirty (30)-day cure period was given. For purposes of the foregoing clause (vi), the term “obligation” refers to Company’s (and its affiliates’) policies and directives and is not intended to refer to performance expectations such as goals set forth in bonus plans or performance evaluations.</w:t>
      </w:r>
    </w:p>
    <w:p>
      <w:pPr>
        <w:spacing w:after="0" w:line="200"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mean the occurrence of any of the following without your consent, provided that (a) you notify the Company within not more than ninety (90) days after its initial occurrence, (b) the Company does not cure such occurrence within thirty (30) days after receipt of such notice and (c) your employment with the Company terminates within sixty (60) days after the end of the Company’s cure period: (i) a material diminution in your responsibilities, authorities or duties with the Company and its affiliates;</w:t>
      </w:r>
    </w:p>
    <w:p>
      <w:pPr>
        <w:spacing w:after="0" w:line="2" w:lineRule="exact"/>
        <w:rPr>
          <w:rFonts w:ascii="Times New Roman" w:cs="Times New Roman" w:eastAsia="Times New Roman" w:hAnsi="Times New Roman"/>
          <w:sz w:val="20"/>
          <w:szCs w:val="20"/>
          <w:color w:val="auto"/>
        </w:rPr>
      </w:pPr>
    </w:p>
    <w:p>
      <w:pPr>
        <w:jc w:val="both"/>
        <w:ind w:left="660" w:hanging="4"/>
        <w:spacing w:after="0" w:line="239" w:lineRule="auto"/>
        <w:tabs>
          <w:tab w:leader="none" w:pos="953"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your Base Salary, annual target STI award opportunity or annual target LTI opportunity, except for across-the-board salary reductions based on the Company’s and subsidiaries’ financial performance similarly affecting all or substantially all management employees of the Company and its affiliates; (iii) the relocation of the office at which you are principally employed to a location more than fifty (50) miles from the location of such office, or you being required to be based anywhere other than such office, except for required travel on business; or (iv) as of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the Company’s filing of its Annual Report on Form 10-K for calendar year 2026, provided that you remain employed by the Company in good standing (as determined by the Company) through such date, you are not employed by the Company as its Chief Financial Officer.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45"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240"/>
          </w:cols>
          <w:pgMar w:left="320" w:top="1085"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B</w:t>
      </w:r>
    </w:p>
    <w:p>
      <w:pPr>
        <w:spacing w:after="0" w:line="2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It is intended that the payments and benefits under this Offer Letter comply with the provisions of Section 409A and the Treasury regulations relating thereto, or satisfy the requirements for an exemption from Section 409A, in each case to the extent applicable to this Offer Letter and, accordingly, to the maximum extent permitted, this Offer Letter shall be interpreted and be administered in a manner to be in compliance therewith. Notwithstanding anything contained herein to the contrary, to the extent required in order to avoid accelerated taxation and/or tax penalties under Section 409A, you shall not be considered to have terminated employment with the Company for purposes of this Offer Letter, and no payment otherwise due upon a termination of employment shall be due to you under this Offer Letter, until you would be considered to have incurred a “separation from service” from the Company within the meaning of Section 409A (a “Separation from Service”). Any payments described in this Offer Letter that qualify for the “short-term deferral” exception from Section 409A shall not be treated as deferred compensation as described in Treasury Regulation Section 1.409A-1(b)(4) and will be paid under such exception unless applicable law requires otherwise. For purposes of Section 409A (including, without limitation, for purposes of Treasury Regulation Section 1.409A-2(b)(2)(iii) and the application of the short-term deferral exception), each payment under this Offer Letter will be treated as a separate payment. Notwithstanding anything to the contrary in this Offer Letter (whether under this Offer Letter or otherwise), to the extent delayed commencement of any portion of the payments to be made to you upon your Separation from Service is required to avoid a prohibited payment under Section 409A(a)(2)(B)(i) of the Code, such portion of the payments shall be delayed and paid on the first business day after the earlier of (i) the date that is six (6) months following such Separation from Service or (ii) your death. Notwithstanding anything contained herein to the contrary, to the extent required in order to avoid accelerated taxation and/or tax penalties under Section 409A, amounts reimbursable to you under this Offer Letter shall be paid to you on or before the last day of the year following the year in which the expense was incurred and the amount of expenses eligible for reimbursement (and in-kind benefits provided to you) during any one year may not affect amounts reimbursable or provided in any subsequent year and may not be liquidated or exchanged for any other benefit. Notwithstanding anything in the Offer Letter to the contrary, in the event that the aggregate period during which you are (or your estate is) entitled to consider and/or revoke the Release spans two calendar years, then to the extent required by Section 409A, no payments under the Severance or Death/Disability paragraphs will be made prior to the beginning of the second such calendar year (and any such payments otherwise payable prior thereto (if any) will instead be paid on the first regularly scheduled Company payroll date occurring in the latter such calendar year or, if later, on the first regularly scheduled Company payroll date following the effectiveness of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220"/>
          </w:cols>
          <w:pgMar w:left="320" w:top="1085" w:right="3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C</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the event any payment, benefit or distribution of any type to or for the benefit of you, whether paid or payable, provided or to be provided, or distributed or distributable pursuant to the terms of this Offer Letter or otherwise, constitutes a “parachute payment” under Section 280G of the Code, the amount payable to you shall be either (a) paid in full, or (b) paid after reduction by the smallest amount as would result in no portion thereof being subject to the excise tax under Section 4999 of the Code, whichever of the foregoing amounts, taking into account the applicable federal, state and local income taxes and the excise tax under Section 4999 of the Code, results in the receipt by you, on an after-tax basis, of the greater net value, notwithstanding that all or some portion of such payment amount may be taxable under Section 4999 of the Code. Unless the Company and you otherwise agree in writing, all determinations required to be made under this paragraph, including the manner and amount of any reduction in your payments hereunder, and the assumptions to be utilized in arriving at such determinations, shall be made in writing in good faith by the accounting firm serving as the Company’s independent public accounting firm immediately prior to the event giving rise to such payment (the “Accounting Firm”); provided, however, that no such reduction or elimination shall apply to any non-qualified deferred compensation amounts (within the meaning of Section 409A of the Code) to the extent such reduction or elimination would accelerate or defer the timing of such payment in a manner that does not comply with Section 409A of the Code. For purposes of making the calculations required by this paragraph, the Accounting Firm may make reasonable assumptions and approximations concerning the application of Sections 280G and 4999 of the Code. The Company and you shall furnish to the Accounting Firm such information and documents as the Accounting Firm may reasonably request to make a determination under this paragraph. The Accounting Firm shall provide its written report to the Committee and you, which shall include information regarding methodology. The Company shall bear all costs the Accounting Firm may reasonably incur in connection with any calculations contemplated by this paragraph. You and the Company shall cooperate in case of a potential Change in Control (as defined in the Plan) to consider alternatives to mitigate any Section 280G exposure, although the Company cannot guarantee any such alternatives will be available or approved by the Company and neither you nor the Company shall be obligated to enter into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220"/>
          </w:cols>
          <w:pgMar w:left="320" w:top="1085" w:right="35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Subsidiary Guarantors and Issuers of Guaranteed Securities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333" w:lineRule="exact"/>
        <w:rPr>
          <w:sz w:val="20"/>
          <w:szCs w:val="20"/>
          <w:color w:val="auto"/>
        </w:rPr>
      </w:pPr>
    </w:p>
    <w:p>
      <w:pPr>
        <w:spacing w:after="0" w:line="352" w:lineRule="auto"/>
        <w:rPr>
          <w:sz w:val="20"/>
          <w:szCs w:val="20"/>
          <w:color w:val="auto"/>
        </w:rPr>
      </w:pPr>
      <w:r>
        <w:rPr>
          <w:rFonts w:ascii="Times New Roman" w:cs="Times New Roman" w:eastAsia="Times New Roman" w:hAnsi="Times New Roman"/>
          <w:sz w:val="18"/>
          <w:szCs w:val="18"/>
          <w:color w:val="auto"/>
        </w:rPr>
        <w:t>The following securities (collectively, the “T-Mobile USA Senior Notes”) issued by T-Mobile USA, Inc., a Delaware corporation and wholly-owned subsidiary of T-Mobile US, Inc. (the “Company”), were outstanding as of September 30, 2026, including those that may no longer be subject to reporting as provided by Regulation S-X Rule 13-01:</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Description 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91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3.750% senior notes due 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2.050%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4.950% senior notes due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4.850% senior notes due 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2.625%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2.400% senior notes due 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3.550% senior notes due 2029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4.200%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3.875% senior notes due 2030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2.550%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2.875% senior notes due 2031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2.250% senior notes due 2031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3.150%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3.200% senior notes due 2032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2.700%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3.700% senior notes due 2032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5.125%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4.625% senior notes due 2033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5.200%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5.050% senior notes due 2033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6.700%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5.750% senior notes due 2034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5.150%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4.700% senior notes due 2035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3.625%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5.300% senior notes due 2035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4.950%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5.000% senior notes due 2036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3.850%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3.500% senior notes due 2037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3.900% senior notes due 2038</w:t>
      </w:r>
    </w:p>
    <w:p>
      <w:pPr>
        <w:sectPr>
          <w:pgSz w:w="11900" w:h="16838" w:orient="portrait"/>
          <w:cols w:equalWidth="0" w:num="1">
            <w:col w:w="11240"/>
          </w:cols>
          <w:pgMar w:left="320" w:top="131" w:right="339" w:bottom="1440" w:gutter="0" w:footer="0" w:header="0"/>
        </w:sectPr>
      </w:pPr>
    </w:p>
    <w:bookmarkStart w:id="77" w:name="page78"/>
    <w:bookmarkEnd w:id="77"/>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4.375% senior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3.000% senior notes due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3.800% senior notes due 2045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4.500%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3.300% senior notes due 2051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3.400% senior notes due 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5.650% senior notes due 2053</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5.750% senior notes due 2054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6.000% senior notes due 2054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5.500% senior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5.250% senior notes due 2055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5.875% senior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5.700% senior notes due 2056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5.850% senior notes due 2056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3.600% senior notes due 2060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5.800% senior notes due 2062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6.250% senior notes due 2069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5.500% senior notes due March 2070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5.500% senior notes due June 2070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352" w:lineRule="auto"/>
        <w:rPr>
          <w:sz w:val="20"/>
          <w:szCs w:val="20"/>
          <w:color w:val="auto"/>
        </w:rPr>
      </w:pPr>
      <w:r>
        <w:rPr>
          <w:rFonts w:ascii="Times New Roman" w:cs="Times New Roman" w:eastAsia="Times New Roman" w:hAnsi="Times New Roman"/>
          <w:sz w:val="18"/>
          <w:szCs w:val="18"/>
          <w:color w:val="auto"/>
        </w:rPr>
        <w:t>The following securities (collectively, the “Sprint Capital Corporation Senior Notes”) issued by Sprint Capital Corporation, a Delaware corporation and wholly-owned subsidiary of the Company, were outstanding as of September 30, 2026, including those that may no longer be subject to reporting as provided by Regulation S-X Rule 13-01:</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FFFFFF"/>
        </w:rPr>
        <w:t>Description 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291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6.875% senior notes due 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8.750% senior notes due 2032</w:t>
      </w:r>
    </w:p>
    <w:p>
      <w:pPr>
        <w:sectPr>
          <w:pgSz w:w="11900" w:h="16838" w:orient="portrait"/>
          <w:cols w:equalWidth="0" w:num="1">
            <w:col w:w="10920"/>
          </w:cols>
          <w:pgMar w:left="320" w:top="1440" w:right="659" w:bottom="1440" w:gutter="0" w:footer="0" w:header="0"/>
        </w:sectPr>
      </w:pPr>
    </w:p>
    <w:bookmarkStart w:id="78" w:name="page79"/>
    <w:bookmarkEnd w:id="78"/>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320" w:lineRule="exact"/>
        <w:rPr>
          <w:sz w:val="20"/>
          <w:szCs w:val="20"/>
          <w:color w:val="auto"/>
        </w:rPr>
      </w:pPr>
    </w:p>
    <w:p>
      <w:pPr>
        <w:ind w:right="20"/>
        <w:spacing w:after="0" w:line="352" w:lineRule="auto"/>
        <w:rPr>
          <w:sz w:val="20"/>
          <w:szCs w:val="20"/>
          <w:color w:val="auto"/>
        </w:rPr>
      </w:pPr>
      <w:r>
        <w:rPr>
          <w:rFonts w:ascii="Times New Roman" w:cs="Times New Roman" w:eastAsia="Times New Roman" w:hAnsi="Times New Roman"/>
          <w:sz w:val="18"/>
          <w:szCs w:val="18"/>
          <w:color w:val="auto"/>
        </w:rPr>
        <w:t>As of September 30, 2026, the obligors under the T-Mobile USA Senior Notes consisted of the Company, as a guarantor; T-Mobile USA, Inc. (a Delaware corporation), as issuer and Sprint LLC (a Delaware limited liability company), Sprint Capital Corporation (a Delaware corporation) and Sprint Communications LLC (a Delaware limited liability company) as guarantors.</w:t>
      </w:r>
    </w:p>
    <w:p>
      <w:pPr>
        <w:spacing w:after="0" w:line="210" w:lineRule="exact"/>
        <w:rPr>
          <w:sz w:val="20"/>
          <w:szCs w:val="20"/>
          <w:color w:val="auto"/>
        </w:rPr>
      </w:pPr>
    </w:p>
    <w:p>
      <w:pPr>
        <w:spacing w:after="0" w:line="352" w:lineRule="auto"/>
        <w:rPr>
          <w:sz w:val="20"/>
          <w:szCs w:val="20"/>
          <w:color w:val="auto"/>
        </w:rPr>
      </w:pPr>
      <w:r>
        <w:rPr>
          <w:rFonts w:ascii="Times New Roman" w:cs="Times New Roman" w:eastAsia="Times New Roman" w:hAnsi="Times New Roman"/>
          <w:sz w:val="18"/>
          <w:szCs w:val="18"/>
          <w:color w:val="auto"/>
        </w:rPr>
        <w:t>As of September 30, 2026, the obligors under the Sprint Capital Corporation Senior Notes consisted of the Company, as a guarantor; Sprint Capital Corporation (a Delaware corporation), as issuer and T-Mobile USA, Inc. (a Delaware corporation), Sprint LLC (a Delaware limited liability company) and Sprint Communications LLC (a Delaware limited liability company) as guarantors.</w:t>
      </w:r>
    </w:p>
    <w:p>
      <w:pPr>
        <w:sectPr>
          <w:pgSz w:w="11900" w:h="16838" w:orient="portrait"/>
          <w:cols w:equalWidth="0" w:num="1">
            <w:col w:w="11140"/>
          </w:cols>
          <w:pgMar w:left="320" w:top="1440" w:right="4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Srinivasan Gopalan, certify that:</w:t>
      </w:r>
    </w:p>
    <w:p>
      <w:pPr>
        <w:spacing w:after="0" w:line="252"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T-Mobile US,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Srinivasan Gopalan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090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Srinivasan Gopalan</w:t>
      </w: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Osvaldik, certify that:</w:t>
      </w:r>
    </w:p>
    <w:p>
      <w:pPr>
        <w:spacing w:after="0" w:line="252"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T-Mobile US,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604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Osvaldik</w:t>
      </w: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1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T-Mobile US, Inc. (the “Company”), on Form 10-Q for the quarter ended September 30, 2026, as filed with the Securities and Exchange Commission (the “Report”), Srinivasan Gopalan, Chief Executive Officer of the Company, does hereby certify, pursuant to § 906 of the Sarbanes-Oxley Act of 2002 (18 U.S.C. § 1350), that to his knowledge:</w:t>
      </w:r>
    </w:p>
    <w:p>
      <w:pPr>
        <w:spacing w:after="0" w:line="203"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Srinivasan Gopalan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290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Srinivasan Gopalan</w:t>
      </w: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T-Mobile US, Inc. (the “Company”), on Form 10-Q for the quarter ended September 30, 2026, as filed with the Securities and Exchange Commission (the “Report”), Peter Osvaldik, Chief Financial Officer of the Company, does hereby certify, pursuant to § 906 of the Sarbanes-Oxley Act of 2002 (18 U.S.C. § 1350), that to his knowledge:</w:t>
      </w:r>
    </w:p>
    <w:p>
      <w:pPr>
        <w:spacing w:after="0" w:line="203"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604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Osvaldik</w:t>
      </w: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lvl w:ilvl="1">
      <w:lvlJc w:val="left"/>
      <w:lvlText w:val="•"/>
      <w:numFmt w:val="bullet"/>
      <w:start w:val="1"/>
    </w:lvl>
  </w:abstractNum>
  <w:abstractNum w:abstractNumId="18">
    <w:nsid w:val="580BD78F"/>
    <w:multiLevelType w:val="hybridMultilevel"/>
    <w:lvl w:ilvl="0">
      <w:lvlJc w:val="left"/>
      <w:lvlText w:val="•"/>
      <w:numFmt w:val="bullet"/>
      <w:start w:val="1"/>
    </w:lvl>
    <w:lvl w:ilvl="1">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lvl w:ilvl="1">
      <w:lvlJc w:val="left"/>
      <w:lvlText w:val="•"/>
      <w:numFmt w:val="bullet"/>
      <w:start w:val="1"/>
    </w:lvl>
  </w:abstractNum>
  <w:abstractNum w:abstractNumId="22">
    <w:nsid w:val="6A2342EC"/>
    <w:multiLevelType w:val="hybridMultilevel"/>
    <w:lvl w:ilvl="0">
      <w:lvlJc w:val="left"/>
      <w:lvlText w:val="•"/>
      <w:numFmt w:val="bullet"/>
      <w:start w:val="1"/>
    </w:lvl>
    <w:lvl w:ilvl="1">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
      <w:numFmt w:val="bullet"/>
      <w:start w:val="1"/>
    </w:lvl>
    <w:lvl w:ilvl="1">
      <w:lvlJc w:val="left"/>
      <w:lvlText w:val="%2"/>
      <w:numFmt w:val="decimal"/>
      <w:start w:val="104"/>
    </w:lvl>
  </w:abstractNum>
  <w:abstractNum w:abstractNumId="49">
    <w:nsid w:val="275AC794"/>
    <w:multiLevelType w:val="hybridMultilevel"/>
    <w:lvl w:ilvl="0">
      <w:lvlJc w:val="left"/>
      <w:lvlText w:val="**"/>
      <w:numFmt w:val="bullet"/>
      <w:start w:val="1"/>
    </w:lvl>
    <w:lvl w:ilvl="1">
      <w:lvlJc w:val="left"/>
      <w:lvlText w:val="%2"/>
      <w:numFmt w:val="decimal"/>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lvl w:ilvl="1">
      <w:lvlJc w:val="left"/>
      <w:lvlText w:val="-"/>
      <w:numFmt w:val="bullet"/>
      <w:start w:val="1"/>
    </w:lvl>
  </w:abstractNum>
  <w:abstractNum w:abstractNumId="55">
    <w:nsid w:val="354FE9F9"/>
    <w:multiLevelType w:val="hybridMultilevel"/>
    <w:lvl w:ilvl="0">
      <w:lvlJc w:val="left"/>
      <w:lvlText w:val="(%1)"/>
      <w:numFmt w:val="lowerLetter"/>
      <w:start w:val="4"/>
    </w:lvl>
    <w:lvl w:ilvl="1">
      <w:lvlJc w:val="left"/>
      <w:lvlText w:val="-"/>
      <w:numFmt w:val="bullet"/>
      <w:start w:val="1"/>
    </w:lvl>
  </w:abstractNum>
  <w:abstractNum w:abstractNumId="56">
    <w:nsid w:val="15B5AF5C"/>
    <w:multiLevelType w:val="hybridMultilevel"/>
    <w:lvl w:ilvl="0">
      <w:lvlJc w:val="left"/>
      <w:lvlText w:val="(%1)"/>
      <w:numFmt w:val="lowerLetter"/>
      <w:start w:val="61"/>
    </w:lvl>
    <w:lvl w:ilvl="1">
      <w:lvlJc w:val="left"/>
      <w:lvlText w:val="-"/>
      <w:numFmt w:val="bullet"/>
      <w:start w:val="1"/>
    </w:lvl>
  </w:abstractNum>
  <w:abstractNum w:abstractNumId="57">
    <w:nsid w:val="741226BB"/>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2026-10-28T15:16:45Z</dcterms:created>
  <dcterms:modified xsi:type="dcterms:W3CDTF">2026-10-28T15:16:45Z</dcterms:modified>
</cp:coreProperties>
</file>