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333-254882</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2129155</wp:posOffset>
            </wp:positionH>
            <wp:positionV relativeFrom="paragraph">
              <wp:posOffset>163195</wp:posOffset>
            </wp:positionV>
            <wp:extent cx="176593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T-Mobile USA, Inc.</w:t>
      </w:r>
    </w:p>
    <w:p>
      <w:pPr>
        <w:spacing w:after="0" w:line="12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OFFER TO EXCHANGE ITS</w:t>
      </w:r>
    </w:p>
    <w:p>
      <w:pPr>
        <w:spacing w:after="0" w:line="131"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3.750% Senior Secured Notes due 2027, 2.050% Senior Secured Notes due 2028,</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3.875% Senior Secured Notes due 2030, 2.550% Senior Secured Notes due 2031,</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2.250% Senior Secured Notes due 2031, 4.375% Senior Secured Notes due 2040,</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3.000% Senior Secured Notes due 2041, 4.500% Senior Secured Notes due 2050,</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3.300% Senior Secured Notes due 2051 and 3.600% Senior Secured Notes due 2060</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that have been registered under the Securities Act of 1933, as amended (the “Securities Act”),</w:t>
      </w:r>
    </w:p>
    <w:p>
      <w:pPr>
        <w:spacing w:after="0" w:line="112"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FOR AN EQUAL AMOUNT OF ITS OUTSTANDING</w:t>
      </w:r>
    </w:p>
    <w:p>
      <w:pPr>
        <w:spacing w:after="0" w:line="117"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4"/>
          <w:szCs w:val="24"/>
          <w:color w:val="auto"/>
        </w:rPr>
      </w:pPr>
    </w:p>
    <w:p>
      <w:pPr>
        <w:jc w:val="center"/>
        <w:spacing w:after="0" w:line="252" w:lineRule="auto"/>
        <w:rPr>
          <w:sz w:val="20"/>
          <w:szCs w:val="20"/>
          <w:color w:val="auto"/>
        </w:rPr>
      </w:pPr>
      <w:r>
        <w:rPr>
          <w:rFonts w:ascii="Arial" w:cs="Arial" w:eastAsia="Arial" w:hAnsi="Arial"/>
          <w:sz w:val="18"/>
          <w:szCs w:val="18"/>
          <w:b w:val="1"/>
          <w:bCs w:val="1"/>
          <w:color w:val="auto"/>
        </w:rPr>
        <w:t>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as applicable, that were issued and sold in transactions exempt from registration under the Securities Act.</w:t>
      </w:r>
    </w:p>
    <w:p>
      <w:pPr>
        <w:spacing w:after="0" w:line="86" w:lineRule="exact"/>
        <w:rPr>
          <w:sz w:val="24"/>
          <w:szCs w:val="24"/>
          <w:color w:val="auto"/>
        </w:rPr>
      </w:pPr>
    </w:p>
    <w:p>
      <w:pPr>
        <w:ind w:right="20" w:firstLine="360"/>
        <w:spacing w:after="0" w:line="282" w:lineRule="auto"/>
        <w:rPr>
          <w:sz w:val="20"/>
          <w:szCs w:val="20"/>
          <w:color w:val="auto"/>
        </w:rPr>
      </w:pPr>
      <w:r>
        <w:rPr>
          <w:rFonts w:ascii="Arial" w:cs="Arial" w:eastAsia="Arial" w:hAnsi="Arial"/>
          <w:sz w:val="16"/>
          <w:szCs w:val="16"/>
          <w:color w:val="auto"/>
        </w:rPr>
        <w:t>T-Mobile USA, Inc., a Delaware corporation (“T-Mobile USA” or the “Issuer”) and a direct wholly-owned subsidiary of T-Mobile US, Inc. (“T-Mobile US” or “Parent”), hereby offers to exchange, upon the terms and conditions set forth in this prospectus and the accompanying letter of transmittal, up to $3,000,000,000 in aggregate principal amount of its 3.500% Senior Secured Notes due 2025 (the “2025 Exchange Notes”), $1,000,000,000 in aggregate principal amount of its 1.500% Senior Secured Notes due 2026 (the “2026 Exchange Notes”), $4,000,000,000 in aggregate principal amount of its 3.750% Senior Secured Notes due 2027 (the “2027 Exchange Notes”), $1,750,000,000 in aggregate principal amount of its 2.050% Senior Secured Notes due 2028 (the “2028 Exchange Notes”), $7,000,000,000 in aggregate principal amount of its 3.875% Senior Secured Notes due 2030 (the “2030 Exchange Notes”), $2,500,000,000 in aggregate principal amount of its 2.550% Senior Secured Notes due 2031 (the “February 2031 Exchange Notes”), $1,000,0000,000 in aggregate principal amount of its 2.250% Senior Secured Notes due 2031 (the “November 2031 Exchange Notes”), $2,000,000,000 in aggregate principal amount of its 4.375% Senior Secured Notes due 2040 (the “2040 Exchange Notes”), $2,500,000,000 in aggregate principal amount of its 3.000% Senior Secured Notes due 2041 (the “2041 Exchange Notes”), $3,000,000,000 in aggregate principal amount of its 4.500% Senior Secured Notes due 2050 (the “2050 Exchange Notes”), $3,000,000,000 in aggregate principal amount of its 3.300% Senior Secured Notes due 2051 (the “2051 Exchange Notes”), and $1,000,000,000 in aggregate principal amount of its 3.600% Senior Secured Notes due 2060 (the “2060 Exchange Notes”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“Exchange Notes”) for an equal amount of its outstanding 3.500% Senior Secured Notes due 2025 (the “2025 Original Notes”), 1.500% Senior Secured Notes due 2026 (the “2026 Original Notes”), 3.750% Senior Secured Notes due 2027 (the “2027 Original Notes”), 2.050% Senior Secured Notes due 2028 (the “2028 Original Notes”), 3.875% Senior Secured Notes due 2030 (the “2030 Original Notes”), 2.550% Senior Secured Notes due 2031 (the “February 2031 Original Notes”), 2.250% Senior Secured Notes due 2031</w:t>
      </w:r>
    </w:p>
    <w:p>
      <w:pPr>
        <w:spacing w:after="0" w:line="10" w:lineRule="exact"/>
        <w:rPr>
          <w:sz w:val="24"/>
          <w:szCs w:val="24"/>
          <w:color w:val="auto"/>
        </w:rPr>
      </w:pPr>
    </w:p>
    <w:p>
      <w:pPr>
        <w:ind w:right="40"/>
        <w:spacing w:after="0" w:line="269" w:lineRule="auto"/>
        <w:rPr>
          <w:sz w:val="20"/>
          <w:szCs w:val="20"/>
          <w:color w:val="auto"/>
        </w:rPr>
      </w:pPr>
      <w:r>
        <w:rPr>
          <w:rFonts w:ascii="Arial" w:cs="Arial" w:eastAsia="Arial" w:hAnsi="Arial"/>
          <w:sz w:val="17"/>
          <w:szCs w:val="17"/>
          <w:color w:val="auto"/>
        </w:rPr>
        <w:t>(the “November 2031 Original Notes”), 4.375% Senior Secured Notes due 2040 (the “2040 Original Notes”), 3.000% Senior Secured Notes due 2041 (the “2041 Original Notes”), 4.500% Senior Secured Notes due 2050 (the “2050 Original Notes”), 3.300% Senior Secured Notes due 2051 (the “2051 Original Notes”) and 3.600% Senior Secured Notes due 2060 (the “2060 Original Notes” and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“Original Notes”). We refer to the Original Notes and the Exchange Notes, collectively, as the “Notes.”</w:t>
      </w:r>
    </w:p>
    <w:p>
      <w:pPr>
        <w:spacing w:after="0" w:line="72" w:lineRule="exact"/>
        <w:rPr>
          <w:sz w:val="24"/>
          <w:szCs w:val="24"/>
          <w:color w:val="auto"/>
        </w:rPr>
      </w:pPr>
    </w:p>
    <w:p>
      <w:pPr>
        <w:ind w:right="20" w:firstLine="360"/>
        <w:spacing w:after="0" w:line="289" w:lineRule="auto"/>
        <w:rPr>
          <w:sz w:val="20"/>
          <w:szCs w:val="20"/>
          <w:color w:val="auto"/>
        </w:rPr>
      </w:pPr>
      <w:r>
        <w:rPr>
          <w:rFonts w:ascii="Arial" w:cs="Arial" w:eastAsia="Arial" w:hAnsi="Arial"/>
          <w:sz w:val="16"/>
          <w:szCs w:val="16"/>
          <w:color w:val="auto"/>
        </w:rPr>
        <w:t>The Issuer’s obligations under the Original Notes are, and under the Exchange Notes will be, guaranteed (such guarantees, the “Guarantees”) by T-Mobile US and each wholly-owned subsidiary of the Issuer that is not an Excluded Subsidiary and is or becomes an obligor of the Credit Agreement (as defined herein) or issues or guarantees certain capital markets debt securities, other than certain Excluded Subsidiaries that do not guarantee the Original Notes and will not guarantee the Exchange Notes, and any future direct or indirect subsidiary of T-Mobile US or any subsidiary thereof that owns capital stock of the Issuer. The Guarantees are provided (in the case of the Original Notes) and will be provided (in the case of the Exchange Notes) on a senior secured basis except for the Unsecured Guarantees of Sprint Corporation, Sprint Communications, Inc. and Sprint Capital Corporation (the “Unsecured Guarantors”), which are provided (in the case of the Original Notes) and will be provided (in the case of Exchange Notes) on a senior unsecured basis (the “Unsecured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97155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5" w:right="1199" w:bottom="1019"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The Original Notes and the Guarantees thereof are, and the Exchange Notes and the Guarantees thereof will be, the Issuer’s and the guarantors’ unsubordinated obligations; secured (except for the Unsecured Guarantees) by a first priority security interest, subject to permitted liens, in substantially all of the Issuer’s and such guarantors’ present and future assets other than Excluded Assets (as defined herein) on an equal and ratable basis with the obligations under the Credit Agreement and obligations under any other existing and future permitted first priority secured obligations; senior in right of payment to any future indebtedness of the Issuer or any guarantor to the extent that such future indebtedness provides by its terms that it is subordinated in right of payment to the Notes and the Guarantees; effectively senior to all existing and future unsecured indebtedness of the Issuer or any guarantor (other than the Unsecured Guarantors) and any future indebtedness of the Issuer or any guarantor (other than the Unsecured Guarantors) secured by a junior lien on the collateral, in each case to the extent of the value of the collateral securing the obligations under the Notes; equal in right of payment with any of the Issuer’s and the guarantors’ existing and future indebtedness and other liabilities that are not by their terms subordinated in right of payment to the Notes, including, without limitation, obligations under the Credit Agreement, the Existing T-Mobile Unsecured Notes (as defined herein) and the Existing Sprint Unsecured Notes (as defined herein); and structurally subordinated to all of the liabilities and other obligations of the subsidiaries of T-Mobile US that are not obligors with respect to the Notes, including the Existing Sprint Spectrum-Backed Notes (as defined herein), factoring arrangements and tower obligations. Assets excluded from the collateral securing the Notes will include, among other things, Permitted Receivables Financing Assets (as defined herein). In addition, the Sprint Spectrum Portfolio (as defined herein) securing the existing Sprint Spectrum-Backed Notes is pledged to secure such indebtedness and does not secure the Original Notes and will not secure the Exchange Notes.</w:t>
      </w:r>
    </w:p>
    <w:p>
      <w:pPr>
        <w:spacing w:after="0" w:line="74"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terms of the Exchange Notes are substantially identical to the terms of the Original Notes, except that the Exchange Notes will generally be freely transferable and do not contain certain terms with respect to registration rights and additional interest. The Exchange Notes will be issued under the indentures governing the Original Notes. For a description of the principal terms of the Exchange Notes, see “Description of Notes.”</w:t>
      </w:r>
    </w:p>
    <w:p>
      <w:pPr>
        <w:spacing w:after="0" w:line="63"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exchange offer will expire at 5:00 p.m., New York City time, on May 21, 2021, unless we extend the offer. At any time prior to the expiration time, you may withdraw your tender of any Original Notes; otherwise, such tender is irrevocable. We will receive no cash proceeds from the exchange offer.</w:t>
      </w:r>
    </w:p>
    <w:p>
      <w:pPr>
        <w:spacing w:after="0" w:line="76"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The Exchange Notes constitute new issues of securities for which there is no established trading market. Any Original Notes not tendered and accepted in the exchange offer will remain outstanding. To the extent Original Notes are tendered and accepted in the exchange offer, your ability to sell untendered, and tendered but unaccepted, Original Notes could be adversely affected. Following consummation of the exchange offer, the Original Notes will continue to be subject to their existing transfer restrictions and we will generally have no further obligations to provide for the registration of the Original Notes under the Securities Act. We cannot guarantee that an active trading market will develop or give assurances as to the liquidity of the trading market for either the Original Notes or the Exchange Notes. We do not intend to apply for listing of either the Original Notes or the Exchange Notes on any exchange or market.</w:t>
      </w:r>
    </w:p>
    <w:p>
      <w:pPr>
        <w:spacing w:after="0" w:line="73"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the Exchange Notes received in exchange for the Original Notes where such Original Notes were acquired by such broker-dealer as a result of market-making or other trading activities. We have agreed that, for a period of 90 days following the effective date of the registration statement of which this prospectus forms a part, we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141605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06" w:lineRule="exact"/>
        <w:rPr>
          <w:sz w:val="20"/>
          <w:szCs w:val="20"/>
          <w:color w:val="auto"/>
        </w:rPr>
      </w:pPr>
    </w:p>
    <w:p>
      <w:pPr>
        <w:ind w:left="300" w:right="4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Exchange Notes involves certain risks. Please read “Risk Factors” beginning on page </w:t>
      </w:r>
      <w:hyperlink w:anchor="page23">
        <w:r>
          <w:rPr>
            <w:rFonts w:ascii="Arial" w:cs="Arial" w:eastAsia="Arial" w:hAnsi="Arial"/>
            <w:sz w:val="18"/>
            <w:szCs w:val="18"/>
            <w:b w:val="1"/>
            <w:bCs w:val="1"/>
            <w:u w:val="single" w:color="auto"/>
            <w:color w:val="0000EE"/>
          </w:rPr>
          <w:t>17</w:t>
        </w:r>
      </w:hyperlink>
      <w:r>
        <w:rPr>
          <w:rFonts w:ascii="Arial" w:cs="Arial" w:eastAsia="Arial" w:hAnsi="Arial"/>
          <w:sz w:val="18"/>
          <w:szCs w:val="18"/>
          <w:b w:val="1"/>
          <w:bCs w:val="1"/>
          <w:color w:val="auto"/>
        </w:rPr>
        <w:t xml:space="preserve"> of this prospectus.</w:t>
      </w:r>
    </w:p>
    <w:p>
      <w:pPr>
        <w:spacing w:after="0" w:line="58"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This prospectus and the letter of transmittal are first being delivered to all holders of the Original Notes on or about 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134620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95" w:lineRule="exact"/>
        <w:rPr>
          <w:sz w:val="20"/>
          <w:szCs w:val="20"/>
          <w:color w:val="auto"/>
        </w:rPr>
      </w:pPr>
    </w:p>
    <w:p>
      <w:pPr>
        <w:ind w:left="300" w:right="5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incorporates important business and financial information about us that is not included in or delivered with this prospectus. Documents incorporated by reference are available from us without charge upon written or oral request. Any person, including any beneficial owner, to whom this prospectus is delivered may obtain documents incorporated by reference in, but not delivered with, this prospectus by requesting them by telephone or in writing at the following address: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T-Mobile US,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12920 SE 38th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Bellevue, Washington 98006</w:t>
      </w:r>
    </w:p>
    <w:p>
      <w:pPr>
        <w:spacing w:after="0" w:line="9" w:lineRule="exact"/>
        <w:rPr>
          <w:sz w:val="20"/>
          <w:szCs w:val="20"/>
          <w:color w:val="auto"/>
        </w:rPr>
      </w:pPr>
    </w:p>
    <w:p>
      <w:pPr>
        <w:ind w:left="4380" w:hanging="438"/>
        <w:spacing w:after="0"/>
        <w:tabs>
          <w:tab w:leader="none" w:pos="4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378-4000</w:t>
      </w:r>
    </w:p>
    <w:p>
      <w:pPr>
        <w:spacing w:after="0" w:line="9" w:lineRule="exact"/>
        <w:rPr>
          <w:rFonts w:ascii="Arial" w:cs="Arial" w:eastAsia="Arial" w:hAnsi="Arial"/>
          <w:sz w:val="18"/>
          <w:szCs w:val="18"/>
          <w:color w:val="auto"/>
        </w:rPr>
      </w:pPr>
    </w:p>
    <w:p>
      <w:pPr>
        <w:ind w:left="3620"/>
        <w:spacing w:after="0"/>
        <w:rPr>
          <w:rFonts w:ascii="Arial" w:cs="Arial" w:eastAsia="Arial" w:hAnsi="Arial"/>
          <w:sz w:val="18"/>
          <w:szCs w:val="18"/>
          <w:color w:val="auto"/>
        </w:rPr>
      </w:pPr>
      <w:r>
        <w:rPr>
          <w:rFonts w:ascii="Arial" w:cs="Arial" w:eastAsia="Arial" w:hAnsi="Arial"/>
          <w:sz w:val="18"/>
          <w:szCs w:val="18"/>
          <w:color w:val="auto"/>
        </w:rPr>
        <w:t>Attn.: Investor Relations</w:t>
      </w:r>
    </w:p>
    <w:p>
      <w:pPr>
        <w:spacing w:after="0" w:line="99" w:lineRule="exact"/>
        <w:rPr>
          <w:sz w:val="20"/>
          <w:szCs w:val="20"/>
          <w:color w:val="auto"/>
        </w:rPr>
      </w:pPr>
    </w:p>
    <w:p>
      <w:pPr>
        <w:ind w:left="300" w:right="479" w:firstLine="360"/>
        <w:spacing w:after="0" w:line="282" w:lineRule="auto"/>
        <w:rPr>
          <w:sz w:val="20"/>
          <w:szCs w:val="20"/>
          <w:color w:val="auto"/>
        </w:rPr>
      </w:pPr>
      <w:r>
        <w:rPr>
          <w:rFonts w:ascii="Arial" w:cs="Arial" w:eastAsia="Arial" w:hAnsi="Arial"/>
          <w:sz w:val="18"/>
          <w:szCs w:val="18"/>
          <w:b w:val="1"/>
          <w:bCs w:val="1"/>
          <w:color w:val="auto"/>
        </w:rPr>
        <w:t>To obtain timely delivery, you must request these documents no later than five business days before the expiration time of the exchange offer, or May 14, 2021.</w:t>
      </w:r>
    </w:p>
    <w:p>
      <w:pPr>
        <w:spacing w:after="0" w:line="58"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information different from that contained in this prospectus. We are offering to exchange Original Notes for Exchange Notes only in jurisdictions where such offer is permitted. You should not assume that the information in the incorporated documents or this prospectus is accurate as of any other date other than the date on the front of these documents.</w:t>
      </w:r>
    </w:p>
    <w:p>
      <w:pPr>
        <w:spacing w:after="0" w:line="80" w:lineRule="exact"/>
        <w:rPr>
          <w:sz w:val="20"/>
          <w:szCs w:val="20"/>
          <w:color w:val="auto"/>
        </w:rPr>
      </w:pPr>
    </w:p>
    <w:p>
      <w:pPr>
        <w:ind w:left="300" w:right="3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on a stand-alone basis as “T-Mobile US” or “Parent.” T-Mobile US has no operations separate from its investment in T-Mobile USA. Accordingly, unless otherwise noted, all of the business and financial information in this prospectus, including the factors identified under “Risk Factors” beginning on page </w:t>
      </w:r>
      <w:hyperlink w:anchor="page23">
        <w:r>
          <w:rPr>
            <w:rFonts w:ascii="Arial" w:cs="Arial" w:eastAsia="Arial" w:hAnsi="Arial"/>
            <w:sz w:val="18"/>
            <w:szCs w:val="18"/>
            <w:u w:val="single" w:color="auto"/>
            <w:color w:val="0000EE"/>
          </w:rPr>
          <w:t>17</w:t>
        </w:r>
      </w:hyperlink>
      <w:r>
        <w:rPr>
          <w:rFonts w:ascii="Arial" w:cs="Arial" w:eastAsia="Arial" w:hAnsi="Arial"/>
          <w:sz w:val="18"/>
          <w:szCs w:val="18"/>
          <w:color w:val="auto"/>
        </w:rPr>
        <w:t>, is presented for Parent on a consolidated basis.</w:t>
      </w:r>
    </w:p>
    <w:p>
      <w:pPr>
        <w:spacing w:after="0" w:line="84"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b w:val="1"/>
          <w:bCs w:val="1"/>
          <w:color w:val="auto"/>
        </w:rPr>
        <w:t>No dealer, salesperson or other person has been authorized to give any information or to make any representations other than those contained or incorporated by reference in this prospectus in connection with the exchange offer, and, if given or made, such information or representations must not be relied upon as having been authorized by T-Mobile. This prospectus does not constitute an offer of any securities other than those to which it relates or an offer or a solicitation by anyone in any jurisdiction in which such offer or solicitation is not authorized or in which the person making such offer or solicitation is not qualified to do so or to anyone to whom it is unlawful to make such offer or solicitation in such jurisdiction. Neither the delivery of this prospectus nor any sale made hereunder shall under any circumstance create an implication that there has been no change in the affairs of our Company since the date hereof of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2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17</w:t>
              </w:r>
            </w:hyperlink>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AFFILIATES WHOSE SECURITIES COLLATERALIZE THE NOTES AND THE GUARANTEES</w:t>
              </w:r>
            </w:hyperlink>
          </w:p>
        </w:tc>
        <w:tc>
          <w:tcPr>
            <w:tcW w:w="28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HISTORICAL CONSOLIDATED FINANCIAL DATA OF T-MOBILE</w:t>
              </w:r>
            </w:hyperlink>
          </w:p>
        </w:tc>
        <w:tc>
          <w:tcPr>
            <w:tcW w:w="28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SELECTED HISTORICAL CONSOLIDATED FINANCIAL DATA OF SPRINT</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EXCHANGE OFFER</w:t>
              </w:r>
            </w:hyperlink>
          </w:p>
        </w:tc>
        <w:tc>
          <w:tcPr>
            <w:tcW w:w="280" w:type="dxa"/>
            <w:vAlign w:val="bottom"/>
            <w:gridSpan w:val="5"/>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38</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DESCRIPTION OF NOTES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DESCRIPTION OF OTHER INDEBTEDNESS AND CERTAIN FINANCING TRANSACTIONS</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118</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MATERIAL U.S. FEDERAL INCOME TAX CONSIDERATIONS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125</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PLAN OF DISTRIBUTION</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126</w:t>
              </w:r>
            </w:hyperlink>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WHERE YOU CAN FIND MORE INFORMATION</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127</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INCORPORATION BY REFERENCE</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127</w:t>
              </w:r>
            </w:hyperlink>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LEGAL MATTERS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128</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EXPERTS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128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-3256915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479" w:firstLine="360"/>
        <w:spacing w:after="0" w:line="270" w:lineRule="auto"/>
        <w:rPr>
          <w:sz w:val="20"/>
          <w:szCs w:val="20"/>
          <w:color w:val="auto"/>
        </w:rPr>
      </w:pPr>
      <w:r>
        <w:rPr>
          <w:rFonts w:ascii="Arial" w:cs="Arial" w:eastAsia="Arial" w:hAnsi="Arial"/>
          <w:sz w:val="17"/>
          <w:szCs w:val="17"/>
          <w:color w:val="auto"/>
        </w:rPr>
        <w:t>Certain statements in this prospectus, the documents incorporated by reference or our other public statements include forward-looking statements.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identified under “Risk Factors” and the risk factors incorporated by reference herein, could affect future results and cause those results to differ materially from those expressed in the forward-looking statements:</w:t>
      </w:r>
    </w:p>
    <w:p>
      <w:pPr>
        <w:spacing w:after="0" w:line="73" w:lineRule="exact"/>
        <w:rPr>
          <w:sz w:val="20"/>
          <w:szCs w:val="20"/>
          <w:color w:val="auto"/>
        </w:rPr>
      </w:pPr>
    </w:p>
    <w:p>
      <w:pPr>
        <w:ind w:left="1000" w:right="79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condition for wireless services;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data loss or other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scarcity and cost of additional wireless spectrum, and regulations relating to spectrum use;</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retain or motivate key personnel, hire qualified personnel or maintain our corporate culture;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take advantage of technological developments on a timely basis;</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system failures and business disruptions, allowing for unauthorized use of or interference with our network and other systems;</w:t>
      </w:r>
    </w:p>
    <w:p>
      <w:pPr>
        <w:spacing w:after="0" w:line="62"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impacts of the actions we have taken and conditions we have agreed to in connection with the regulatory proceedings and approvals of the Transactions (as defined below), including the prepaid transaction, the complaint and proposed final judgment (the “Consent Decree”) agreed to by us, Deutsche Telekom AG (“DT”), Sprint, SoftBank Group Corp.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 (collectively, the “Government Commitments”), and the challenges in satisfying the Government Commitments in the required time frames and the significant cumulative cost incurred in tracking, monitoring and complying with them;</w:t>
      </w:r>
    </w:p>
    <w:p>
      <w:pPr>
        <w:spacing w:after="0" w:line="63"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manage the ongoing commercial and transition services arrangements that we entered into with DISH in connection with the prepaid transaction, which we completed on July 1, 2020, and known or unknown liabilities arising in connection therewith;</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any future acquisition, investment, or merger involving us;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disruption or failure of our third parties (including key suppliers) to provide products or services for the operation of our business;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occurrence of high fraud rates or volumes related to device financing, customer payment cards, third-party dealers, employees, subscriptions, identities or account takeover fraud;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substantial level of indebtedness and our inability to service our debt obligations in accordance with their terms or to comply with the restrictive covenants contained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future material weaknesses we may identify while we work to integrate and align policies, principles and practices of the two companies following the Merger (as defined below), or any other failure by us to maintain effective internal controls, and the resulting significant costs and reputational damage;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changes in regulations or in the regulatory framework under which we operate;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privacy and data protection;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outcomes of existing or future legal proceedings;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offering of regulated financial services products and exposure to a wide variety of state and federal regulations;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or amended tax laws or regulations or administrative interpretations and judicial decisions affecting the scope or application of tax laws or regulations;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the possible revocation of our existing licenses in the event that we violate applicable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sales of our common stock by DT and SoftBank and our inability to attract additional equity financing outside the United States due to foreign ownership limitations by the FCC;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volatility of our stock price and our lack of plan to pay cash dividends in the foreseeable future;</w:t>
      </w:r>
    </w:p>
    <w:p>
      <w:pPr>
        <w:spacing w:after="0" w:line="128" w:lineRule="exact"/>
        <w:rPr>
          <w:rFonts w:ascii="Arial" w:cs="Arial" w:eastAsia="Arial" w:hAnsi="Arial"/>
          <w:sz w:val="17"/>
          <w:szCs w:val="17"/>
          <w:color w:val="auto"/>
        </w:rPr>
      </w:pPr>
    </w:p>
    <w:p>
      <w:pPr>
        <w:ind w:left="1000" w:right="37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(the “Merger”) with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or in the amounts anticipated;</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 and costs of, or difficulties in, integrating our business and Sprint's business and operations, and unexpected additional operating costs, customer loss and business disruption, including maintaining relationships with employees, customers, suppliers or vendors;</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difficulties, disruption, or significant delays in our long-term strategy to migrate Sprint's legacy customers onto T-Mobile's existing billing platforms;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existing or the issuance of new accounting standards by the Financial Accounting Standards Board or other regulatory agencies.</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documents incorporated herein by reference.</w:t>
      </w:r>
    </w:p>
    <w:p>
      <w:pPr>
        <w:spacing w:after="0" w:line="62"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73" w:lineRule="exact"/>
        <w:rPr>
          <w:sz w:val="20"/>
          <w:szCs w:val="20"/>
          <w:color w:val="auto"/>
        </w:rPr>
      </w:pPr>
    </w:p>
    <w:p>
      <w:pPr>
        <w:jc w:val="both"/>
        <w:ind w:left="300" w:right="719" w:firstLine="360"/>
        <w:spacing w:after="0" w:line="279" w:lineRule="auto"/>
        <w:rPr>
          <w:sz w:val="20"/>
          <w:szCs w:val="20"/>
          <w:color w:val="auto"/>
        </w:rPr>
      </w:pPr>
      <w:r>
        <w:rPr>
          <w:rFonts w:ascii="Arial" w:cs="Arial" w:eastAsia="Arial" w:hAnsi="Arial"/>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20" w:right="299" w:firstLine="360"/>
        <w:spacing w:after="0" w:line="257" w:lineRule="auto"/>
        <w:rPr>
          <w:sz w:val="20"/>
          <w:szCs w:val="20"/>
          <w:color w:val="auto"/>
        </w:rPr>
      </w:pPr>
      <w:r>
        <w:rPr>
          <w:rFonts w:ascii="Arial" w:cs="Arial" w:eastAsia="Arial" w:hAnsi="Arial"/>
          <w:sz w:val="18"/>
          <w:szCs w:val="18"/>
          <w:i w:val="1"/>
          <w:iCs w:val="1"/>
          <w:color w:val="auto"/>
        </w:rPr>
        <w:t>This summary contains basic information about us and this exchange offer. It does not contain all of the information that you should consider before deciding to participate in the exchange offer. You should carefully read this prospectus and the documents incorporated by reference herein for a more complete understanding of our business. Additionally, you should read the “Risk Factors” section of this prospectus and in documents incorporated by reference into this prospectus before making an investment decision.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Un-carrier was supercharged upon the completion of our Merger with Sprint on April 1, 2020, which resulted in Sprint and its subsidiaries becoming wholly owned consolidated subsidiaries of T-Mobile. Through the Merger, we acquired Sprint’s customers and 2.5 GHz mid-band spectrum, among other assets. As the supercharged Un-carrier, we are on a mission to build America’s best 5G network, offering customers unrivalled coverage and capacity where they live, work and play. Our network is the foundation of our success and powers everything we do. As one company, we have begun to combine our mid-band spectrum licenses, including Advanced Wireless Services (“AWS”), Personal Communications Services (“PCS”) and 2.5 GHz, our millimeter-wave licenses and our foundational layer of low-band spectrum, including 600 MHz, 700 MHz and 800 MHz, to create a “layer cake” of spectrum and provide an unmatched 5G experience to our customers. We believe this layer cake will broaden and deepen our nationwide 5G network enabling accelerated innovation and increased competition in the U.S. wireless, video and broadband industries. We have achieved and expect to continue to achieve significant synergies and cost reductions by eliminating redundancies within the combined network as well as other business processes and operations.</w:t>
      </w:r>
    </w:p>
    <w:p>
      <w:pPr>
        <w:spacing w:after="0" w:line="78"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Our 4G Long-Term Evolution (“LTE”) network covers 328 million people (99% of the U.S. population). Additionally, our 5G network is America’s largest, covering 1.6 million square miles, 280 million people and 9,100 cities and towns across the United States, including Puerto Rico and the U.S. Virgin Islands, as of December 31, 2020.</w:t>
      </w:r>
    </w:p>
    <w:p>
      <w:pPr>
        <w:spacing w:after="0" w:line="79" w:lineRule="exact"/>
        <w:rPr>
          <w:sz w:val="20"/>
          <w:szCs w:val="20"/>
          <w:color w:val="auto"/>
        </w:rPr>
      </w:pPr>
    </w:p>
    <w:p>
      <w:pPr>
        <w:ind w:left="320" w:right="419" w:firstLine="360"/>
        <w:spacing w:after="0" w:line="257" w:lineRule="auto"/>
        <w:rPr>
          <w:sz w:val="20"/>
          <w:szCs w:val="20"/>
          <w:color w:val="auto"/>
        </w:rPr>
      </w:pPr>
      <w:r>
        <w:rPr>
          <w:rFonts w:ascii="Arial" w:cs="Arial" w:eastAsia="Arial" w:hAnsi="Arial"/>
          <w:sz w:val="18"/>
          <w:szCs w:val="18"/>
          <w:color w:val="auto"/>
        </w:rPr>
        <w:t>We continue to expand the footprint and improve the quality of our network, providing outstanding wireless experiences for customers who will not have to compromise on quality and value. Going forward, it is this network that will allow us to deliver new, innovative products and services with the same customer experience focus and industry-disrupting mentality that has redefined the wireless communications services industry in the United States in the customers’ favor.</w:t>
      </w:r>
    </w:p>
    <w:p>
      <w:pPr>
        <w:spacing w:after="0" w:line="80" w:lineRule="exact"/>
        <w:rPr>
          <w:sz w:val="20"/>
          <w:szCs w:val="20"/>
          <w:color w:val="auto"/>
        </w:rPr>
      </w:pPr>
    </w:p>
    <w:p>
      <w:pPr>
        <w:ind w:left="320" w:right="459" w:firstLine="360"/>
        <w:spacing w:after="0" w:line="269" w:lineRule="auto"/>
        <w:rPr>
          <w:sz w:val="20"/>
          <w:szCs w:val="20"/>
          <w:color w:val="auto"/>
        </w:rPr>
      </w:pPr>
      <w:r>
        <w:rPr>
          <w:rFonts w:ascii="Arial" w:cs="Arial" w:eastAsia="Arial" w:hAnsi="Arial"/>
          <w:sz w:val="17"/>
          <w:szCs w:val="17"/>
          <w:color w:val="auto"/>
        </w:rPr>
        <w:t>As of December 31, 2020, we provide wireless services to 102.1 million postpaid and prepaid customers and generate revenue by providing affordable wireless communications services to these customers, as well as a wide selection of wireless devices and accessories. Our most significant expenses relate to operating and expanding our network, providing a full range of devices, acquiring and retaining high-quality customers and compensating employees.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our websites is not incorporated into or part of this prospectus (except for our SEC reports expressly incorporated by reference herein).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439" w:firstLine="360"/>
        <w:spacing w:after="0" w:line="311" w:lineRule="auto"/>
        <w:rPr>
          <w:sz w:val="20"/>
          <w:szCs w:val="20"/>
          <w:color w:val="auto"/>
        </w:rPr>
      </w:pPr>
      <w:r>
        <w:rPr>
          <w:rFonts w:ascii="Arial" w:cs="Arial" w:eastAsia="Arial" w:hAnsi="Arial"/>
          <w:sz w:val="16"/>
          <w:szCs w:val="16"/>
          <w:color w:val="auto"/>
        </w:rPr>
        <w:t>Our corporate headquarters and principal executive offices are located at 12920 SE 38th Street, Bellevue, Washington 98006. Our telephone number is (425) 378-4000. We maintain a website at www.T-Mobile.com where our Annual Reports on Form 10-K, Quarterly Reports on Form 10-Q, Current Reports on Form 8-K and</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21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7821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19"/>
        <w:spacing w:after="0" w:line="311" w:lineRule="auto"/>
        <w:rPr>
          <w:sz w:val="20"/>
          <w:szCs w:val="20"/>
          <w:color w:val="auto"/>
        </w:rPr>
      </w:pPr>
      <w:r>
        <w:rPr>
          <w:rFonts w:ascii="Arial" w:cs="Arial" w:eastAsia="Arial" w:hAnsi="Arial"/>
          <w:sz w:val="16"/>
          <w:szCs w:val="16"/>
          <w:color w:val="auto"/>
        </w:rPr>
        <w:t>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spacing w:after="0" w:line="41" w:lineRule="exact"/>
        <w:rPr>
          <w:sz w:val="20"/>
          <w:szCs w:val="20"/>
          <w:color w:val="auto"/>
        </w:rPr>
      </w:pPr>
    </w:p>
    <w:p>
      <w:pPr>
        <w:ind w:left="320" w:right="439" w:firstLine="360"/>
        <w:spacing w:after="0" w:line="342" w:lineRule="auto"/>
        <w:rPr>
          <w:sz w:val="20"/>
          <w:szCs w:val="20"/>
          <w:color w:val="auto"/>
        </w:rPr>
      </w:pPr>
      <w:r>
        <w:rPr>
          <w:rFonts w:ascii="Arial" w:cs="Arial" w:eastAsia="Arial" w:hAnsi="Arial"/>
          <w:sz w:val="16"/>
          <w:szCs w:val="16"/>
          <w:color w:val="auto"/>
        </w:rPr>
        <w:t>This prospectus may include trademarks, service marks and trade names owned by us or other companies. All trademarks, service marks and trade names included in this prospectus are the property of their respective owners.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Ownership and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our current ownership and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hanging="350"/>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“Description of Other Indebtedness and Certain Financing Transactions.”</w:t>
      </w:r>
    </w:p>
    <w:p>
      <w:pPr>
        <w:spacing w:after="0" w:line="41" w:lineRule="exact"/>
        <w:rPr>
          <w:rFonts w:ascii="Arial" w:cs="Arial" w:eastAsia="Arial" w:hAnsi="Arial"/>
          <w:sz w:val="14"/>
          <w:szCs w:val="14"/>
          <w:color w:val="auto"/>
        </w:rPr>
      </w:pPr>
    </w:p>
    <w:p>
      <w:pPr>
        <w:ind w:left="660" w:right="359" w:hanging="350"/>
        <w:spacing w:after="0" w:line="23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Spectrum lease payments from a Sprint subsidiary, Sprint Communications, Inc., are used to service the indebtedness under the Existing Sprint Spectrum-Backed Notes (as defined under “Description of Other Indebtedness and Certain Financing Transactions—Existing Sprint Spectrum Note Facility”). This lease payment obligation is secured by a first priority security interest in the Collateral (as defined under “Description of Notes—Collateral—Assets Pledged as Collateral”) (with such security capped at $3.5 billion), shared with the Notes and other permitted first priority secured obligations.</w:t>
      </w:r>
    </w:p>
    <w:p>
      <w:pPr>
        <w:spacing w:after="0" w:line="21" w:lineRule="exact"/>
        <w:rPr>
          <w:rFonts w:ascii="Arial" w:cs="Arial" w:eastAsia="Arial" w:hAnsi="Arial"/>
          <w:sz w:val="14"/>
          <w:szCs w:val="14"/>
          <w:color w:val="auto"/>
        </w:rPr>
      </w:pPr>
    </w:p>
    <w:p>
      <w:pPr>
        <w:ind w:left="660" w:right="299" w:hanging="350"/>
        <w:spacing w:after="0" w:line="225"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subsidiaries of the Issuer do not provide guarantees of the Original Notes, the Existing T-Mobile Unsecured Notes (as defined under “Description of Other Indebtedness and Certain Financing Transactions—Existing T-Mobile Unsecured Notes”) and the Existing T-Mobile Secured Notes (as defined under “Description of Other Indebtedness and Certain Financing Transactions—Existing T-Mobile Secured Notes”) and will not provide guarantees of the Exchange Notes (such as special purpose finance entities, a reinsurance subsidiary and immaterial subsidiaries). See “Description of Notes—Brief Description of the Notes and the Note Guarantees—The Note Guarantees.” Assuming that on December 31, 2020, we had completed the Q1 Notes Issuances (as defined under “—Recent Developments—Notes Issuances”) and the Q1 Redemption (as defined under “—Recent Developments—Redemption”), subsidiaries that do not provide guarantees of the Original Notes and will not provide guarantees of the Exchange Notes that were included in Parent’s consolidated financial statements as of such date had approximately $12.2 billion of total assets and approximately $6.7 billion in indebtedness and Tower Obligations (as defined under “Description of Other Indebtedness and Certain Financing Transactions—Existing T-Mobile Tower Transactions”) outstanding.</w:t>
      </w:r>
    </w:p>
    <w:p>
      <w:pPr>
        <w:spacing w:after="0" w:line="27" w:lineRule="exact"/>
        <w:rPr>
          <w:rFonts w:ascii="Arial" w:cs="Arial" w:eastAsia="Arial" w:hAnsi="Arial"/>
          <w:sz w:val="14"/>
          <w:szCs w:val="14"/>
          <w:color w:val="auto"/>
        </w:rPr>
      </w:pPr>
    </w:p>
    <w:p>
      <w:pPr>
        <w:ind w:left="660" w:right="299" w:hanging="350"/>
        <w:spacing w:after="0" w:line="23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spacing w:after="0" w:line="22" w:lineRule="exact"/>
        <w:rPr>
          <w:rFonts w:ascii="Arial" w:cs="Arial" w:eastAsia="Arial" w:hAnsi="Arial"/>
          <w:sz w:val="14"/>
          <w:szCs w:val="14"/>
          <w:color w:val="auto"/>
        </w:rPr>
      </w:pPr>
    </w:p>
    <w:p>
      <w:pPr>
        <w:ind w:left="660" w:right="299" w:hanging="350"/>
        <w:spacing w:after="0" w:line="251"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Existing Sprint Spectrum Note Entities (as defined under “Description of Notes—Certain Definitions”) own a separate pool of 2.5 GHz and 1.9 GHz spectrum which has been pledged to secure indebtedness under the Sprint Spectrum Note Facility (as defined under “Description of Other Indebtedness and Certain Financing Transactions—Existing Sprint Spectrum Note Facility”). This spectrum will not secure the Notes or any other permitted first priority secured obligations. As of December 31, 2020, an aggregate principal amount of $4.6 billion of Existing Sprint Spectrum-Backed Notes was outstanding under the Sprint Spectrum Note Facility.</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Notes Issuances</w:t>
      </w:r>
    </w:p>
    <w:p>
      <w:pPr>
        <w:spacing w:after="0" w:line="117" w:lineRule="exact"/>
        <w:rPr>
          <w:sz w:val="20"/>
          <w:szCs w:val="20"/>
          <w:color w:val="auto"/>
        </w:rPr>
      </w:pPr>
    </w:p>
    <w:p>
      <w:pPr>
        <w:ind w:left="320" w:right="399" w:firstLine="360"/>
        <w:spacing w:after="0" w:line="286" w:lineRule="auto"/>
        <w:rPr>
          <w:sz w:val="20"/>
          <w:szCs w:val="20"/>
          <w:color w:val="auto"/>
        </w:rPr>
      </w:pPr>
      <w:r>
        <w:rPr>
          <w:rFonts w:ascii="Arial" w:cs="Arial" w:eastAsia="Arial" w:hAnsi="Arial"/>
          <w:sz w:val="17"/>
          <w:szCs w:val="17"/>
          <w:color w:val="auto"/>
        </w:rPr>
        <w:t>On January 14, 2021, T-Mobile USA issued $1.00 billion in aggregate principal amount of its 2.250% Senior Notes due 2026, $1.00 billion in aggregate principal amount of its 2.625% Senior Notes due 2029 and $1.00 billion in aggregate principal amount of its 2.875% Senior Notes due 2031, and on March 23,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T-Mobile USA issued $1.20 billion in aggregate principal amount of its 2.625% Senior Notes due 2026,</w:t>
      </w:r>
    </w:p>
    <w:p>
      <w:pPr>
        <w:spacing w:after="0" w:line="2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$1.25 billion in aggregate principal amount of its 3.375% Senior Notes due 2029 and $1.35 billion in aggregate principal amount of its 3.500% Senior Notes due 2031 (such issuances on January 14, 2021 and March 23, 2021 collectively, the “Q1 Notes Issuances”).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320" w:right="439" w:firstLine="360"/>
        <w:spacing w:after="0" w:line="277" w:lineRule="auto"/>
        <w:rPr>
          <w:sz w:val="20"/>
          <w:szCs w:val="20"/>
          <w:color w:val="auto"/>
        </w:rPr>
      </w:pPr>
      <w:r>
        <w:rPr>
          <w:rFonts w:ascii="Arial" w:cs="Arial" w:eastAsia="Arial" w:hAnsi="Arial"/>
          <w:sz w:val="18"/>
          <w:szCs w:val="18"/>
          <w:color w:val="auto"/>
        </w:rPr>
        <w:t>On March 27, 2021, T-Mobile USA redeemed the full $2.0 billion outstanding principal amount of its 6.500% Senior Notes due 2026 (the “Q1 Redemption”).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of the Exchange Offer</w:t>
      </w:r>
    </w:p>
    <w:p>
      <w:pPr>
        <w:spacing w:after="0" w:line="121" w:lineRule="exact"/>
        <w:rPr>
          <w:sz w:val="20"/>
          <w:szCs w:val="20"/>
          <w:color w:val="auto"/>
        </w:rPr>
      </w:pPr>
    </w:p>
    <w:p>
      <w:pPr>
        <w:ind w:left="320" w:right="319" w:firstLine="360"/>
        <w:spacing w:after="0" w:line="275" w:lineRule="auto"/>
        <w:rPr>
          <w:sz w:val="20"/>
          <w:szCs w:val="20"/>
          <w:color w:val="auto"/>
        </w:rPr>
      </w:pPr>
      <w:r>
        <w:rPr>
          <w:rFonts w:ascii="Arial" w:cs="Arial" w:eastAsia="Arial" w:hAnsi="Arial"/>
          <w:sz w:val="17"/>
          <w:szCs w:val="17"/>
          <w:color w:val="auto"/>
        </w:rPr>
        <w:t>On April 9, 2020, T-Mobile USA issued $3.0 billion in aggregate principal amount of its 3.500% Senior Secured Notes due 2025, $4.0 billion in aggregate principal amount of its 3.750% Senior Secured Notes due 2027, $7.0 billion in aggregate principal amount of its 3.875% Senior Secured Notes due 2030, $2.0 billion in aggregate principal amount of its 4.375% Senior Secured Notes due 2040 Notes and $3.0 billion in aggregate principal amount of its 4.500% Senior Secured Notes due 2050, each with related guarantees.</w:t>
      </w:r>
    </w:p>
    <w:p>
      <w:pPr>
        <w:spacing w:after="0" w:line="68" w:lineRule="exact"/>
        <w:rPr>
          <w:sz w:val="20"/>
          <w:szCs w:val="20"/>
          <w:color w:val="auto"/>
        </w:rPr>
      </w:pPr>
    </w:p>
    <w:p>
      <w:pPr>
        <w:ind w:left="320" w:right="419" w:firstLine="360"/>
        <w:spacing w:after="0" w:line="259" w:lineRule="auto"/>
        <w:rPr>
          <w:sz w:val="20"/>
          <w:szCs w:val="20"/>
          <w:color w:val="auto"/>
        </w:rPr>
      </w:pPr>
      <w:r>
        <w:rPr>
          <w:rFonts w:ascii="Arial" w:cs="Arial" w:eastAsia="Arial" w:hAnsi="Arial"/>
          <w:sz w:val="18"/>
          <w:szCs w:val="18"/>
          <w:color w:val="auto"/>
        </w:rPr>
        <w:t>On June 24, 2020, T-Mobile USA issued $1.0 billion in aggregate principal amount of its 1.500% Senior Secured Notes due 2026, $1.25 billion in aggregate principal amount of its 2.050% Senior Secured Notes due 2028 and $1.75 billion in aggregate principal amount of its 2.550% Senior Secured Notes due 2031, each with related guarantees.</w:t>
      </w:r>
    </w:p>
    <w:p>
      <w:pPr>
        <w:spacing w:after="0" w:line="79" w:lineRule="exact"/>
        <w:rPr>
          <w:sz w:val="20"/>
          <w:szCs w:val="20"/>
          <w:color w:val="auto"/>
        </w:rPr>
      </w:pPr>
    </w:p>
    <w:p>
      <w:pPr>
        <w:ind w:left="320" w:right="379" w:firstLine="360"/>
        <w:spacing w:after="0" w:line="301" w:lineRule="auto"/>
        <w:rPr>
          <w:sz w:val="20"/>
          <w:szCs w:val="20"/>
          <w:color w:val="auto"/>
        </w:rPr>
      </w:pPr>
      <w:r>
        <w:rPr>
          <w:rFonts w:ascii="Arial" w:cs="Arial" w:eastAsia="Arial" w:hAnsi="Arial"/>
          <w:sz w:val="16"/>
          <w:szCs w:val="16"/>
          <w:color w:val="auto"/>
        </w:rPr>
        <w:t>On October 6, 2020, T-Mobile USA issued $500 million in aggregate principal amount of its 2.050% Senior Secured Notes due 2028, $750 million in aggregate principal amount of its 2.550% Senior Secured Notes due 2031, $1.25 billion in aggregate principal amount of its 3.000% Senior Secured Notes due 2041 and $1.5 billion in aggregate principal amount of its 3.300% Senior Secured Notes due 2051, each with related guarantees.</w:t>
      </w:r>
    </w:p>
    <w:p>
      <w:pPr>
        <w:spacing w:after="0" w:line="49" w:lineRule="exact"/>
        <w:rPr>
          <w:sz w:val="20"/>
          <w:szCs w:val="20"/>
          <w:color w:val="auto"/>
        </w:rPr>
      </w:pPr>
    </w:p>
    <w:p>
      <w:pPr>
        <w:ind w:left="320" w:right="379" w:firstLine="360"/>
        <w:spacing w:after="0" w:line="301" w:lineRule="auto"/>
        <w:rPr>
          <w:sz w:val="20"/>
          <w:szCs w:val="20"/>
          <w:color w:val="auto"/>
        </w:rPr>
      </w:pPr>
      <w:r>
        <w:rPr>
          <w:rFonts w:ascii="Arial" w:cs="Arial" w:eastAsia="Arial" w:hAnsi="Arial"/>
          <w:sz w:val="16"/>
          <w:szCs w:val="16"/>
          <w:color w:val="auto"/>
        </w:rPr>
        <w:t>On October 28, 2020, T-Mobile USA issued $1.0 billion in aggregate principal amount of its 2.250% Senior Secured Notes due 2031, $1.25 billion in aggregate principal amount of its 3.000% Senior Secured Notes due 2041, $1.5 billion in aggregate principal amount of its 3.300% Senior Secured Notes due 2051 and $1.0 billion in aggregate principal amount of its 3.600% Senior Secured Notes due 2060, each with related guarantees.</w:t>
      </w:r>
    </w:p>
    <w:p>
      <w:pPr>
        <w:spacing w:after="0" w:line="49" w:lineRule="exact"/>
        <w:rPr>
          <w:sz w:val="20"/>
          <w:szCs w:val="20"/>
          <w:color w:val="auto"/>
        </w:rPr>
      </w:pPr>
    </w:p>
    <w:p>
      <w:pPr>
        <w:ind w:left="320" w:right="299" w:firstLine="360"/>
        <w:spacing w:after="0" w:line="271" w:lineRule="auto"/>
        <w:rPr>
          <w:sz w:val="20"/>
          <w:szCs w:val="20"/>
          <w:color w:val="auto"/>
        </w:rPr>
      </w:pPr>
      <w:r>
        <w:rPr>
          <w:rFonts w:ascii="Arial" w:cs="Arial" w:eastAsia="Arial" w:hAnsi="Arial"/>
          <w:sz w:val="17"/>
          <w:szCs w:val="17"/>
          <w:color w:val="auto"/>
        </w:rPr>
        <w:t>In connection with each offering of Original Notes described above, we entered into registration rights agreements with the initial purchasers of the Original Notes in which we agreed (i) to use commercially reasonable efforts to cause an exchange offer registration statement of which this prospectus is a part to be filed with the SEC within 30 calendar days (the “target filing date”) following the due date for the Parent’s Annual Report on Form 10-K for the year in which Sprint and its subsidiaries have been included in the consolidated results of Parent for at least nine months, which was the year ended December 31, 2020 and to have such registration statement declared effective promptly thereafter, and (ii) to use commercially reasonable efforts to complete the exchange offer not later than 60 days after such effective date.</w:t>
      </w:r>
    </w:p>
    <w:p>
      <w:pPr>
        <w:spacing w:after="0" w:line="70" w:lineRule="exact"/>
        <w:rPr>
          <w:sz w:val="20"/>
          <w:szCs w:val="20"/>
          <w:color w:val="auto"/>
        </w:rPr>
      </w:pPr>
    </w:p>
    <w:p>
      <w:pPr>
        <w:ind w:left="320" w:right="279" w:firstLine="360"/>
        <w:spacing w:after="0" w:line="275" w:lineRule="auto"/>
        <w:rPr>
          <w:sz w:val="20"/>
          <w:szCs w:val="20"/>
          <w:color w:val="auto"/>
        </w:rPr>
      </w:pPr>
      <w:r>
        <w:rPr>
          <w:rFonts w:ascii="Arial" w:cs="Arial" w:eastAsia="Arial" w:hAnsi="Arial"/>
          <w:sz w:val="17"/>
          <w:szCs w:val="17"/>
          <w:color w:val="auto"/>
        </w:rPr>
        <w:t>The Exchange Notes will be accepted for clearance through The Depository Trust Company (“DTC”) with a new CUSIP and ISIN number and common code for each series of the Exchange Notes. You should read the discussions under the headings “The Exchange Offer” and “Description of Notes,” respectively, for more information about the exchange offer and Exchange Notes. After the exchange offer is completed, you will no longer be entitled to any exchange or, with limited exceptions, registration rights for your Original Notes.</w:t>
      </w:r>
    </w:p>
    <w:p>
      <w:pPr>
        <w:spacing w:after="0" w:line="10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The Exchange Offer</w:t>
      </w:r>
      <w:r>
        <w:rPr>
          <w:sz w:val="20"/>
          <w:szCs w:val="20"/>
          <w:color w:val="auto"/>
        </w:rPr>
        <w:tab/>
      </w:r>
      <w:r>
        <w:rPr>
          <w:rFonts w:ascii="Arial" w:cs="Arial" w:eastAsia="Arial" w:hAnsi="Arial"/>
          <w:sz w:val="16"/>
          <w:szCs w:val="16"/>
          <w:color w:val="auto"/>
        </w:rPr>
        <w:t>T-Mobile USA is offering to exchange any and all of its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3.500% Senior Secured Notes due 2025, 1.500%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2026, 3.750%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due 2027, 2.050% Senior Secured Notes due 2028,</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3.875% Senior Secured Notes due 2030, 2.550%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2031, 2.250%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due 2031, 4.375% Senior Secured Notes due 2040,</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3.000% Senior Secured Notes due 2041, 4.500%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2050, 3.300%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due 2051 and 3.600% Senior Secured Notes due 2060,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all of which have been registered under the Securities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 for an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equal amount of its outstanding unregistered 3.500%</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2025, 1.500%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due 2026, 3.750% Senior Secured Notes due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2027, 2.050% Senior Secured Notes due 2028, 3.875%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2030, 2.550%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due 2031, 2.250% Senior Secured Notes due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2031, 4.375% Senior Secured Notes due 2040, 3.000%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2041, 4.500%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Notes due 2050, 3.300% Senior Secured Notes due 2051</w:t>
      </w:r>
    </w:p>
    <w:p>
      <w:pPr>
        <w:spacing w:after="0" w:line="4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3.600% Senior Secured Notes due 2060, as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applicable. Original Notes may only be exchanged in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principal amount of $2,000 or an integral multiple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 in excess thereof.</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 of the date of this prospectus, $3,000,000,000 in</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2025, $1,000,000,000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1.500%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2026, $4,000,000,000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3.750%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2027, $1,750,000,000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2.050%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2028, $7,000,000,000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3.875%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2030, $2,500,000,000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2.550%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2031, $1,000,000,000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2.250%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2031, $2,000,000,000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4.375%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2040, $2,500,000,000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3.000%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2041, $3,000,000,000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4.500%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2050, $3,000,000,000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3.300%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2051, and $1,000,000,000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3.600%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Senior Secured Notes due 2060 are outstanding.</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terms of the Exchange Notes are identical in all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material respects to those of the Original Notes, except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Exchange Notes will not be subject to transfer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restrictions and holders of the Exchange Notes, with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limited exceptions, will have no registration rights. Also,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Exchange Notes will not include provisions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contained in the Original Notes that required payment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additional interest in the event we failed to satisfy our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registration obligations with respect to the Original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Original Notes that are not tendered for exchange will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continue to be subject to transfer restrictions and, with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limited exceptions, will not have registration rights.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Therefore, the market for secondary resales of Original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that are not tendered for exchange is likely to be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82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Expiration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Withdrawal of Tenders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679"/>
        <w:spacing w:after="0" w:line="311" w:lineRule="auto"/>
        <w:rPr>
          <w:sz w:val="20"/>
          <w:szCs w:val="20"/>
          <w:color w:val="auto"/>
        </w:rPr>
      </w:pPr>
      <w:r>
        <w:rPr>
          <w:rFonts w:ascii="Arial" w:cs="Arial" w:eastAsia="Arial" w:hAnsi="Arial"/>
          <w:sz w:val="16"/>
          <w:szCs w:val="16"/>
          <w:color w:val="auto"/>
        </w:rPr>
        <w:t>substantially limited. However, no market currently exists for the Exchange Notes and we can offer no assurance that such a market will develop.</w:t>
      </w:r>
    </w:p>
    <w:p>
      <w:pPr>
        <w:spacing w:after="0" w:line="41" w:lineRule="exact"/>
        <w:rPr>
          <w:sz w:val="20"/>
          <w:szCs w:val="20"/>
          <w:color w:val="auto"/>
        </w:rPr>
      </w:pPr>
    </w:p>
    <w:p>
      <w:pPr>
        <w:ind w:right="599"/>
        <w:spacing w:after="0" w:line="342" w:lineRule="auto"/>
        <w:rPr>
          <w:sz w:val="20"/>
          <w:szCs w:val="20"/>
          <w:color w:val="auto"/>
        </w:rPr>
      </w:pPr>
      <w:r>
        <w:rPr>
          <w:rFonts w:ascii="Arial" w:cs="Arial" w:eastAsia="Arial" w:hAnsi="Arial"/>
          <w:sz w:val="16"/>
          <w:szCs w:val="16"/>
          <w:color w:val="auto"/>
        </w:rPr>
        <w:t>T-Mobile USA will issue registered Exchange Notes promptly after the expiration of the exchange offer.</w:t>
      </w:r>
    </w:p>
    <w:p>
      <w:pPr>
        <w:spacing w:after="0" w:line="16" w:lineRule="exact"/>
        <w:rPr>
          <w:sz w:val="20"/>
          <w:szCs w:val="20"/>
          <w:color w:val="auto"/>
        </w:rPr>
      </w:pPr>
    </w:p>
    <w:p>
      <w:pPr>
        <w:ind w:right="399"/>
        <w:spacing w:after="0" w:line="263" w:lineRule="auto"/>
        <w:rPr>
          <w:sz w:val="20"/>
          <w:szCs w:val="20"/>
          <w:color w:val="auto"/>
        </w:rPr>
      </w:pPr>
      <w:r>
        <w:rPr>
          <w:rFonts w:ascii="Arial" w:cs="Arial" w:eastAsia="Arial" w:hAnsi="Arial"/>
          <w:sz w:val="18"/>
          <w:szCs w:val="18"/>
          <w:color w:val="auto"/>
        </w:rPr>
        <w:t>The exchange offer is not subject to any federal or state regulatory requirements or approvals other than securities laws and blue sky laws.</w:t>
      </w:r>
    </w:p>
    <w:p>
      <w:pPr>
        <w:spacing w:after="0" w:line="103" w:lineRule="exact"/>
        <w:rPr>
          <w:sz w:val="20"/>
          <w:szCs w:val="20"/>
          <w:color w:val="auto"/>
        </w:rPr>
      </w:pPr>
    </w:p>
    <w:p>
      <w:pPr>
        <w:ind w:right="359"/>
        <w:spacing w:after="0" w:line="255" w:lineRule="auto"/>
        <w:rPr>
          <w:sz w:val="20"/>
          <w:szCs w:val="20"/>
          <w:color w:val="auto"/>
        </w:rPr>
      </w:pPr>
      <w:r>
        <w:rPr>
          <w:rFonts w:ascii="Arial" w:cs="Arial" w:eastAsia="Arial" w:hAnsi="Arial"/>
          <w:sz w:val="18"/>
          <w:szCs w:val="18"/>
          <w:color w:val="auto"/>
        </w:rPr>
        <w:t>The exchange offer will expire at 5:00 p.m., New York City time, on May 21, 2021, unless we decide to extend the expiration time. Please read “The Exchange Offer— Extensions, Delay in Acceptance, Termination or Amendment” for more information about extending the expiration time.</w:t>
      </w:r>
    </w:p>
    <w:p>
      <w:pPr>
        <w:spacing w:after="0" w:line="125" w:lineRule="exact"/>
        <w:rPr>
          <w:sz w:val="20"/>
          <w:szCs w:val="20"/>
          <w:color w:val="auto"/>
        </w:rPr>
      </w:pPr>
    </w:p>
    <w:p>
      <w:pPr>
        <w:ind w:right="359"/>
        <w:spacing w:after="0" w:line="255" w:lineRule="auto"/>
        <w:rPr>
          <w:sz w:val="20"/>
          <w:szCs w:val="20"/>
          <w:color w:val="auto"/>
        </w:rPr>
      </w:pPr>
      <w:r>
        <w:rPr>
          <w:rFonts w:ascii="Arial" w:cs="Arial" w:eastAsia="Arial" w:hAnsi="Arial"/>
          <w:sz w:val="18"/>
          <w:szCs w:val="18"/>
          <w:color w:val="auto"/>
        </w:rPr>
        <w:t>You may withdraw your tender of Original Notes at any time prior to the expiration time. We will return to you, without charge, promptly after the expiration or termination of the exchange offer any Original Notes that you tendered but that were not accepted for exchange.</w:t>
      </w:r>
    </w:p>
    <w:p>
      <w:pPr>
        <w:spacing w:after="0" w:line="125" w:lineRule="exact"/>
        <w:rPr>
          <w:sz w:val="20"/>
          <w:szCs w:val="20"/>
          <w:color w:val="auto"/>
        </w:rPr>
      </w:pPr>
    </w:p>
    <w:p>
      <w:pPr>
        <w:ind w:right="299"/>
        <w:spacing w:after="0" w:line="291" w:lineRule="auto"/>
        <w:rPr>
          <w:sz w:val="20"/>
          <w:szCs w:val="20"/>
          <w:color w:val="auto"/>
        </w:rPr>
      </w:pPr>
      <w:r>
        <w:rPr>
          <w:rFonts w:ascii="Arial" w:cs="Arial" w:eastAsia="Arial" w:hAnsi="Arial"/>
          <w:sz w:val="16"/>
          <w:szCs w:val="16"/>
          <w:color w:val="auto"/>
        </w:rPr>
        <w:t>The exchange offer is subject to certain customary conditions, which we may amend or waive. We have the right, in our sole discretion, to terminate or withdraw the exchange offer if any of the conditions described in this prospectus are not satisfied or waived. The exchange offer is not conditioned on any minimum aggregate principal amount of Original Notes being tendered.</w:t>
      </w:r>
    </w:p>
    <w:p>
      <w:pPr>
        <w:spacing w:after="0" w:line="58" w:lineRule="exact"/>
        <w:rPr>
          <w:sz w:val="20"/>
          <w:szCs w:val="20"/>
          <w:color w:val="auto"/>
        </w:rPr>
      </w:pPr>
    </w:p>
    <w:p>
      <w:pPr>
        <w:ind w:right="559"/>
        <w:spacing w:after="0" w:line="263" w:lineRule="auto"/>
        <w:rPr>
          <w:sz w:val="20"/>
          <w:szCs w:val="20"/>
          <w:color w:val="auto"/>
        </w:rPr>
      </w:pPr>
      <w:r>
        <w:rPr>
          <w:rFonts w:ascii="Arial" w:cs="Arial" w:eastAsia="Arial" w:hAnsi="Arial"/>
          <w:sz w:val="18"/>
          <w:szCs w:val="18"/>
          <w:color w:val="auto"/>
        </w:rPr>
        <w:t>Please read “The Exchange Offer—Conditions to the Exchange Offer” for more information about the conditions to the exchange offer.</w:t>
      </w:r>
    </w:p>
    <w:p>
      <w:pPr>
        <w:spacing w:after="0" w:line="103" w:lineRule="exact"/>
        <w:rPr>
          <w:sz w:val="20"/>
          <w:szCs w:val="20"/>
          <w:color w:val="auto"/>
        </w:rPr>
      </w:pPr>
    </w:p>
    <w:p>
      <w:pPr>
        <w:ind w:right="279"/>
        <w:spacing w:after="0" w:line="253" w:lineRule="auto"/>
        <w:rPr>
          <w:sz w:val="20"/>
          <w:szCs w:val="20"/>
          <w:color w:val="auto"/>
        </w:rPr>
      </w:pPr>
      <w:r>
        <w:rPr>
          <w:rFonts w:ascii="Arial" w:cs="Arial" w:eastAsia="Arial" w:hAnsi="Arial"/>
          <w:sz w:val="18"/>
          <w:szCs w:val="18"/>
          <w:color w:val="auto"/>
        </w:rPr>
        <w:t>If your Original Notes are held through DTC and you wish to participate in the exchange offer, you may do so through DTC’s automated tender offer program. If you tender under this program, you will agree to be bound by the letter of transmittal that we are providing with this prospectus as though you had signed the letter of transmittal. By signing or agreeing to be bound by the letter of transmittal, you will represent to us that, among other things:</w:t>
      </w:r>
    </w:p>
    <w:p>
      <w:pPr>
        <w:spacing w:after="0" w:line="88" w:lineRule="exact"/>
        <w:rPr>
          <w:sz w:val="20"/>
          <w:szCs w:val="20"/>
          <w:color w:val="auto"/>
        </w:rPr>
      </w:pPr>
    </w:p>
    <w:p>
      <w:pPr>
        <w:ind w:left="700" w:right="459" w:hanging="350"/>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Exchange Notes that you receive will be acquired in the ordinary course of your business;</w:t>
      </w:r>
    </w:p>
    <w:p>
      <w:pPr>
        <w:spacing w:after="0" w:line="75" w:lineRule="exact"/>
        <w:rPr>
          <w:rFonts w:ascii="Arial" w:cs="Arial" w:eastAsia="Arial" w:hAnsi="Arial"/>
          <w:sz w:val="18"/>
          <w:szCs w:val="18"/>
          <w:color w:val="auto"/>
        </w:rPr>
      </w:pPr>
    </w:p>
    <w:p>
      <w:pPr>
        <w:ind w:left="700" w:right="359" w:hanging="350"/>
        <w:spacing w:after="0" w:line="275"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to participate in a distribution (within the meaning of the Securities Act) of the Exchange Notes in violations of the Securities Act;</w:t>
      </w:r>
    </w:p>
    <w:p>
      <w:pPr>
        <w:spacing w:after="0" w:line="68" w:lineRule="exact"/>
        <w:rPr>
          <w:rFonts w:ascii="Arial" w:cs="Arial" w:eastAsia="Arial" w:hAnsi="Arial"/>
          <w:sz w:val="17"/>
          <w:szCs w:val="17"/>
          <w:color w:val="auto"/>
        </w:rPr>
      </w:pPr>
    </w:p>
    <w:p>
      <w:pPr>
        <w:ind w:left="700" w:right="499" w:hanging="350"/>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you are not an “affiliate,” as defined in Rule 405 under the Securities Act, of us or any</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56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7556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 or if you are such an affiliate, you</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will comply with the registration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prospectus delivery requirements of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Securities Act to the extent applicable;</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you are not engaged in and do not intend to</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engage in a distribution of the Exchange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Notes;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 you are a broker-dealer that will receive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Notes for your own account in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for Original Notes that were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acquired as a result of market-making or other</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trading activities and that you will deliver a</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prospectus meeting the requirements of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Securities Act (or, to the extent permitted by</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law, make available a prospectus meeting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requirements of the Securities Act to</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purchasers) in connection with any resale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such Exchange Notes.</w:t>
      </w:r>
    </w:p>
    <w:p>
      <w:pPr>
        <w:sectPr>
          <w:pgSz w:w="11900" w:h="16838" w:orient="portrait"/>
          <w:cols w:equalWidth="0" w:num="1">
            <w:col w:w="9019"/>
          </w:cols>
          <w:pgMar w:left="1440" w:top="265" w:right="1440" w:bottom="1440" w:gutter="0" w:footer="0" w:header="0"/>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Special Procedures for Beneficial Owner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459"/>
        <w:spacing w:after="0" w:line="290" w:lineRule="auto"/>
        <w:rPr>
          <w:sz w:val="20"/>
          <w:szCs w:val="20"/>
          <w:color w:val="auto"/>
        </w:rPr>
      </w:pPr>
      <w:r>
        <w:rPr>
          <w:rFonts w:ascii="Arial" w:cs="Arial" w:eastAsia="Arial" w:hAnsi="Arial"/>
          <w:sz w:val="16"/>
          <w:szCs w:val="16"/>
          <w:color w:val="auto"/>
        </w:rPr>
        <w:t>If you own a beneficial interest in Original Notes that are registered in the name of a broker, dealer, commercial bank, trust company or other nominee and you wish to tender the Original Notes in the exchange offer, please contact the registered holder as soon as possible and instruct the registered holder to tender on your behalf and to comply with our instructions described in this prospectus.</w:t>
      </w:r>
    </w:p>
    <w:p>
      <w:pPr>
        <w:spacing w:after="0" w:line="9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3"/>
          <w:szCs w:val="13"/>
          <w:b w:val="1"/>
          <w:bCs w:val="1"/>
          <w:color w:val="auto"/>
        </w:rPr>
        <w:t>Resales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Except as indicated in this prospectus, we believe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Exchange Notes will be freely transferable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holders other than our affiliates after the exchange offer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without further registration under the Securities Act if:</w:t>
      </w:r>
    </w:p>
    <w:p>
      <w:pPr>
        <w:spacing w:after="0" w:line="11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79"/>
        <w:spacing w:after="0" w:line="277" w:lineRule="auto"/>
        <w:rPr>
          <w:sz w:val="20"/>
          <w:szCs w:val="20"/>
          <w:color w:val="auto"/>
        </w:rPr>
      </w:pPr>
      <w:r>
        <w:rPr>
          <w:rFonts w:ascii="Arial" w:cs="Arial" w:eastAsia="Arial" w:hAnsi="Arial"/>
          <w:sz w:val="18"/>
          <w:szCs w:val="18"/>
          <w:color w:val="auto"/>
        </w:rPr>
        <w:t>you are acquiring the Exchange Notes in the ordinary course of your business;</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99"/>
        <w:spacing w:after="0" w:line="301" w:lineRule="auto"/>
        <w:rPr>
          <w:sz w:val="20"/>
          <w:szCs w:val="20"/>
          <w:color w:val="auto"/>
        </w:rPr>
      </w:pPr>
      <w:r>
        <w:rPr>
          <w:rFonts w:ascii="Arial" w:cs="Arial" w:eastAsia="Arial" w:hAnsi="Arial"/>
          <w:sz w:val="16"/>
          <w:szCs w:val="16"/>
          <w:color w:val="auto"/>
        </w:rPr>
        <w:t>you are not participating, do not intend to participate and have no arrangement or understanding with any person to participate in the distribution of the Exchange Notes; and</w:t>
      </w:r>
    </w:p>
    <w:p>
      <w:pPr>
        <w:spacing w:after="0" w:line="49"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19"/>
        <w:spacing w:after="0" w:line="277" w:lineRule="auto"/>
        <w:rPr>
          <w:sz w:val="20"/>
          <w:szCs w:val="20"/>
          <w:color w:val="auto"/>
        </w:rPr>
      </w:pPr>
      <w:r>
        <w:rPr>
          <w:rFonts w:ascii="Arial" w:cs="Arial" w:eastAsia="Arial" w:hAnsi="Arial"/>
          <w:sz w:val="18"/>
          <w:szCs w:val="18"/>
          <w:color w:val="auto"/>
        </w:rPr>
        <w:t>you are not an affiliate of the Issuer or any guarantor.</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640"/>
        <w:spacing w:after="0"/>
        <w:rPr>
          <w:sz w:val="20"/>
          <w:szCs w:val="20"/>
          <w:color w:val="auto"/>
        </w:rPr>
      </w:pPr>
      <w:r>
        <w:rPr>
          <w:rFonts w:ascii="Arial" w:cs="Arial" w:eastAsia="Arial" w:hAnsi="Arial"/>
          <w:sz w:val="17"/>
          <w:szCs w:val="17"/>
          <w:color w:val="auto"/>
        </w:rPr>
        <w:t>Our belief is based on existing interpretations of 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Act by the SEC staff set forth in several 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action letters to third parties that are not related to us.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We do not intend to seek our own no-action letter,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there is no assurance that the SEC staff would make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similar determination with respect to the Exchange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If this interpretation is inapplicable, and you</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transfer any Exchange Notes without delivering a</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prospectus meeting the requirements of the Securities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 or without an exemption from such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56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556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requirements, you may incur liability under the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Act. We do not assume, or indemnify holders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against, such liability.</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Each broker-dealer that is issued Exchange Notes for its</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own account in exchange for Original Notes that were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acquired by the broker-dealer as a result of market-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making or other trading activities must acknowledge that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it will deliver a prospectus meeting the requirements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Securities Act (or, to the extent permitted by law,</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make available a prospectus meeting the requirements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Securities Act to purchasers) in connection with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resale of the Exchange Notes. See “Plan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Distribution.”</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United States Federal Income Tax</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Considerations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399"/>
        <w:spacing w:after="0" w:line="279" w:lineRule="auto"/>
        <w:rPr>
          <w:sz w:val="20"/>
          <w:szCs w:val="20"/>
          <w:color w:val="auto"/>
        </w:rPr>
      </w:pPr>
      <w:r>
        <w:rPr>
          <w:rFonts w:ascii="Arial" w:cs="Arial" w:eastAsia="Arial" w:hAnsi="Arial"/>
          <w:sz w:val="17"/>
          <w:szCs w:val="17"/>
          <w:color w:val="auto"/>
        </w:rPr>
        <w:t>The exchange of Original Notes for Exchange Notes will not be a taxable exchange for United States federal income tax purposes. Please see “Material U.S. Federal Income Tax Considerations.”</w:t>
      </w:r>
    </w:p>
    <w:p>
      <w:pPr>
        <w:spacing w:after="0" w:line="1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jc w:val="both"/>
        <w:ind w:right="359"/>
        <w:spacing w:after="0" w:line="301" w:lineRule="auto"/>
        <w:rPr>
          <w:sz w:val="20"/>
          <w:szCs w:val="20"/>
          <w:color w:val="auto"/>
        </w:rPr>
      </w:pPr>
      <w:r>
        <w:rPr>
          <w:rFonts w:ascii="Arial" w:cs="Arial" w:eastAsia="Arial" w:hAnsi="Arial"/>
          <w:sz w:val="16"/>
          <w:szCs w:val="16"/>
          <w:color w:val="auto"/>
        </w:rPr>
        <w:t>We will not receive any proceeds from the issuance of the Exchange Notes pursuant to the exchange offer. We will pay certain expenses incident to the exchange offer. See “The Exchange Offer—Transfer Taxes.”</w:t>
      </w:r>
    </w:p>
    <w:p>
      <w:pPr>
        <w:spacing w:after="0" w:line="72"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6"/>
          <w:szCs w:val="16"/>
          <w:b w:val="1"/>
          <w:bCs w:val="1"/>
          <w:color w:val="auto"/>
        </w:rPr>
        <w:t>Registration Rights</w:t>
      </w:r>
    </w:p>
    <w:p>
      <w:pPr>
        <w:spacing w:after="0" w:line="20" w:lineRule="exact"/>
        <w:rPr>
          <w:sz w:val="20"/>
          <w:szCs w:val="20"/>
          <w:color w:val="auto"/>
        </w:rPr>
      </w:pPr>
      <w:r>
        <w:rPr>
          <w:sz w:val="20"/>
          <w:szCs w:val="20"/>
          <w:color w:val="auto"/>
        </w:rPr>
        <w:br w:type="column"/>
      </w:r>
    </w:p>
    <w:p>
      <w:pPr>
        <w:ind w:right="279"/>
        <w:spacing w:after="0" w:line="273" w:lineRule="auto"/>
        <w:rPr>
          <w:sz w:val="20"/>
          <w:szCs w:val="20"/>
          <w:color w:val="auto"/>
        </w:rPr>
      </w:pPr>
      <w:r>
        <w:rPr>
          <w:rFonts w:ascii="Arial" w:cs="Arial" w:eastAsia="Arial" w:hAnsi="Arial"/>
          <w:sz w:val="17"/>
          <w:szCs w:val="17"/>
          <w:color w:val="auto"/>
        </w:rPr>
        <w:t>If we fail to complete the exchange offer as required by the registration rights agreement, we may be obligated to pay additional interest to holders of the Original Notes. Please see “The Exchange Offer—Additional Interest” for more information regarding your rights as a holder of the Original Notes.</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Exchange Agent</w:t>
      </w:r>
    </w:p>
    <w:p>
      <w:pPr>
        <w:spacing w:after="0" w:line="121" w:lineRule="exact"/>
        <w:rPr>
          <w:sz w:val="20"/>
          <w:szCs w:val="20"/>
          <w:color w:val="auto"/>
        </w:rPr>
      </w:pPr>
    </w:p>
    <w:p>
      <w:pPr>
        <w:ind w:left="320" w:right="399" w:firstLine="360"/>
        <w:spacing w:after="0" w:line="275" w:lineRule="auto"/>
        <w:rPr>
          <w:sz w:val="20"/>
          <w:szCs w:val="20"/>
          <w:color w:val="auto"/>
        </w:rPr>
      </w:pPr>
      <w:r>
        <w:rPr>
          <w:rFonts w:ascii="Arial" w:cs="Arial" w:eastAsia="Arial" w:hAnsi="Arial"/>
          <w:sz w:val="17"/>
          <w:szCs w:val="17"/>
          <w:color w:val="auto"/>
        </w:rPr>
        <w:t>We have appointed Deutsche Bank Trust Company Americas as exchange agent for the exchange offer. Please direct questions and requests for assistance and requests for additional copies of this prospectus or of the letter of transmittal to the exchange agent. As described in more detail under the caption “The Exchange Offer—Procedures for Tendering,” if you are not tendering under DTC’s automated tender offer program, you should send the letter of transmittal and any other required documents to the exchange agent as follows: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135"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Please email all inquiries to</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transfer.operations@db.com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For Information or to Confirm by Telephone: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(877) 735-7777, Option 2</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By Mail, Overnight Mail or Courier:</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Transfer Operations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DB Services Americas, Inc.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COO Corporate &amp; Investment Banking Technology and Operations</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Jacksonville, FL 32256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Exchange Notes</w:t>
      </w:r>
    </w:p>
    <w:p>
      <w:pPr>
        <w:spacing w:after="0" w:line="121" w:lineRule="exact"/>
        <w:rPr>
          <w:sz w:val="20"/>
          <w:szCs w:val="20"/>
          <w:color w:val="auto"/>
        </w:rPr>
      </w:pPr>
    </w:p>
    <w:p>
      <w:pPr>
        <w:ind w:left="320" w:right="279" w:firstLine="360"/>
        <w:spacing w:after="0" w:line="254" w:lineRule="auto"/>
        <w:rPr>
          <w:sz w:val="20"/>
          <w:szCs w:val="20"/>
          <w:color w:val="auto"/>
        </w:rPr>
      </w:pPr>
      <w:r>
        <w:rPr>
          <w:rFonts w:ascii="Arial" w:cs="Arial" w:eastAsia="Arial" w:hAnsi="Arial"/>
          <w:sz w:val="18"/>
          <w:szCs w:val="18"/>
          <w:color w:val="auto"/>
        </w:rPr>
        <w:t>The form and terms of the Exchange Notes to be issued in the exchange offer are substantially identical to the form and terms of the Original Notes, except that the Exchange Notes will be registered under the Securities Act and, therefore, will not bear legends restricting their transfer, will not contain terms providing for additional interest if we fail to perform our registration obligations with respect to the Original Notes and, with limited exceptions, will not be entitled to registration rights. The following summarizes the material terms of the Exchange Notes, which will evidence the same debt as the Original Notes, and both the Original Notes and the Exchange Notes are governed by the same indentures.</w:t>
      </w:r>
    </w:p>
    <w:p>
      <w:pPr>
        <w:ind w:left="320"/>
        <w:spacing w:after="0" w:line="197" w:lineRule="auto"/>
        <w:tabs>
          <w:tab w:leader="none" w:pos="4620" w:val="left"/>
        </w:tabs>
        <w:rPr>
          <w:sz w:val="20"/>
          <w:szCs w:val="20"/>
          <w:color w:val="auto"/>
        </w:rPr>
      </w:pPr>
      <w:r>
        <w:rPr>
          <w:rFonts w:ascii="Arial" w:cs="Arial" w:eastAsia="Arial" w:hAnsi="Arial"/>
          <w:sz w:val="36"/>
          <w:szCs w:val="36"/>
          <w:b w:val="1"/>
          <w:bCs w:val="1"/>
          <w:color w:val="auto"/>
          <w:vertAlign w:val="superscript"/>
        </w:rPr>
        <w:t>Issuer</w:t>
      </w:r>
      <w:r>
        <w:rPr>
          <w:sz w:val="20"/>
          <w:szCs w:val="20"/>
          <w:color w:val="auto"/>
        </w:rPr>
        <w:tab/>
      </w:r>
      <w:r>
        <w:rPr>
          <w:rFonts w:ascii="Arial" w:cs="Arial" w:eastAsia="Arial" w:hAnsi="Arial"/>
          <w:sz w:val="18"/>
          <w:szCs w:val="18"/>
          <w:color w:val="auto"/>
        </w:rPr>
        <w:t>T-Mobile USA, Inc.</w:t>
      </w:r>
    </w:p>
    <w:p>
      <w:pPr>
        <w:spacing w:after="0" w:line="19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Securities</w:t>
      </w:r>
      <w:r>
        <w:rPr>
          <w:sz w:val="20"/>
          <w:szCs w:val="20"/>
          <w:color w:val="auto"/>
        </w:rPr>
        <w:tab/>
      </w:r>
      <w:r>
        <w:rPr>
          <w:rFonts w:ascii="Arial" w:cs="Arial" w:eastAsia="Arial" w:hAnsi="Arial"/>
          <w:sz w:val="18"/>
          <w:szCs w:val="18"/>
          <w:color w:val="auto"/>
        </w:rPr>
        <w:t>$3,000,000,000 in aggregate principal amount of</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3.500% Senior Secured Notes due 2025.</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1.500% Senior Secured Notes due 2026.</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3.750% Senior Secured Notes due 2027.</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$1,750,000,000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2.050% Senior Secured Notes due 2028.</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$7,000,000,000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3.875% Senior Secured Notes due 2030.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2.550% Senior Secured Notes due 2031.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2.250% Senior Secured Notes due 2031.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4.375% Senior Secured Notes due 2040.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 Senior Secured Notes due 2041.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4.500% Senior Secured Notes due 2050.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3.300% Senior Secured Notes due 2051.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3.600% Senior Secured Notes due 2060.</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Maturity</w:t>
      </w:r>
      <w:r>
        <w:rPr>
          <w:sz w:val="20"/>
          <w:szCs w:val="20"/>
          <w:color w:val="auto"/>
        </w:rPr>
        <w:tab/>
      </w:r>
      <w:r>
        <w:rPr>
          <w:rFonts w:ascii="Arial" w:cs="Arial" w:eastAsia="Arial" w:hAnsi="Arial"/>
          <w:sz w:val="18"/>
          <w:szCs w:val="18"/>
          <w:color w:val="auto"/>
        </w:rPr>
        <w:t>The 2025 Exchange Notes will mature on April 15,</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2025.</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2026 Exchange Notes will mature on February 15,</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2026.</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2027 Exchange Notes will mature on April 15,</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2027.</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2028 Exchange Notes will mature on February 15,</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2028.</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2030 Exchange Notes will mature on April 15,</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2030.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February 2031 Exchange Notes will mature 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February 15, 2031.</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28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3280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7"/>
              </w:rPr>
              <w:t>The November 2031 Exchange Notes will mature on</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November 15, 2031.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The 2040 Exchange Notes will mature on April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2040.</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The 2041 Exchange Notes will mature on February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2041.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The 2050 Exchange Notes will mature on April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2050.</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The 2051 Exchange Notes will mature on February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2051.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The 2060 Exchange Notes will mature on November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2060.</w:t>
            </w:r>
          </w:p>
        </w:tc>
        <w:tc>
          <w:tcPr>
            <w:tcW w:w="2060" w:type="dxa"/>
            <w:vAlign w:val="bottom"/>
          </w:tcPr>
          <w:p>
            <w:pPr>
              <w:spacing w:after="0"/>
              <w:rPr>
                <w:sz w:val="20"/>
                <w:szCs w:val="20"/>
                <w:color w:val="auto"/>
              </w:rPr>
            </w:pPr>
          </w:p>
        </w:tc>
      </w:tr>
      <w:tr>
        <w:trPr>
          <w:trHeight w:val="337"/>
        </w:trPr>
        <w:tc>
          <w:tcPr>
            <w:tcW w:w="430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Each series of Exchange Notes will have the same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interest payment dates as the corresponding series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Original Notes for which they are being offered in</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exchange. With respect to each series of Exchange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interest will accrue from the date of original</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issuance or, if interest has already been paid on the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corresponding Original Notes exchanged therefor, the</w:t>
            </w:r>
          </w:p>
        </w:tc>
      </w:tr>
      <w:tr>
        <w:trPr>
          <w:trHeight w:val="230"/>
        </w:trPr>
        <w:tc>
          <w:tcPr>
            <w:tcW w:w="43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date it was most recently paid on such Original Notes.</w:t>
            </w: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Interest on the 2025 Exchange Notes, the 2027</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Exchange Notes, the 2030 Exchange Notes, the 2040</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Exchange Notes and the 2050 Exchange Notes will be</w:t>
            </w:r>
          </w:p>
        </w:tc>
      </w:tr>
      <w:tr>
        <w:trPr>
          <w:trHeight w:val="230"/>
        </w:trPr>
        <w:tc>
          <w:tcPr>
            <w:tcW w:w="43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payable on April 15 and October 15 of each year.</w:t>
            </w: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Interest on the 2026 Exchange Notes, the 2028</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Exchange Notes, the February 2031 Exchange Notes,</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89"/>
              </w:rPr>
              <w:t>the 2041 Exchange Notes and the 2051 Exchange Notes</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will be payable on February 15 and August 15 of each</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year.</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Interest on the November 2031 Exchange Notes and the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2060 Exchange Notes will be payable on May 15 and</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2"/>
              </w:rPr>
              <w:t>November 15 of each year.</w:t>
            </w:r>
          </w:p>
        </w:tc>
        <w:tc>
          <w:tcPr>
            <w:tcW w:w="2060" w:type="dxa"/>
            <w:vAlign w:val="bottom"/>
          </w:tcPr>
          <w:p>
            <w:pPr>
              <w:spacing w:after="0"/>
              <w:rPr>
                <w:sz w:val="20"/>
                <w:szCs w:val="20"/>
                <w:color w:val="auto"/>
              </w:rPr>
            </w:pPr>
          </w:p>
        </w:tc>
      </w:tr>
      <w:tr>
        <w:trPr>
          <w:trHeight w:val="350"/>
        </w:trPr>
        <w:tc>
          <w:tcPr>
            <w:tcW w:w="430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7"/>
              </w:rPr>
              <w:t>The Issuer may redeem some or all of the Exchange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(i) at any time prior to the applicable date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indicated in the table below at a price equal to 100%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the principal amount of such Exchange Notes being</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redeemed and a “make whole” premium and (ii) on or</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after the applicable date indicated in the table below at a</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9"/>
              </w:rPr>
              <w:t>price equal to 100% of the principal amount of such</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Exchange Notes being redeemed; plus, in the case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both (i) and (ii), accrued and unpaid interest, if any, to,</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but not including, the redemption date, as described in</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this prospectus:</w:t>
            </w:r>
          </w:p>
        </w:tc>
        <w:tc>
          <w:tcPr>
            <w:tcW w:w="2060" w:type="dxa"/>
            <w:vAlign w:val="bottom"/>
          </w:tcPr>
          <w:p>
            <w:pPr>
              <w:spacing w:after="0"/>
              <w:rPr>
                <w:sz w:val="20"/>
                <w:szCs w:val="20"/>
                <w:color w:val="auto"/>
              </w:rPr>
            </w:pPr>
          </w:p>
        </w:tc>
      </w:tr>
      <w:tr>
        <w:trPr>
          <w:trHeight w:val="68"/>
        </w:trPr>
        <w:tc>
          <w:tcPr>
            <w:tcW w:w="4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060" w:type="dxa"/>
            <w:vAlign w:val="bottom"/>
          </w:tcPr>
          <w:p>
            <w:pPr>
              <w:spacing w:after="0"/>
              <w:rPr>
                <w:sz w:val="5"/>
                <w:szCs w:val="5"/>
                <w:color w:val="auto"/>
              </w:rPr>
            </w:pPr>
          </w:p>
        </w:tc>
      </w:tr>
      <w:tr>
        <w:trPr>
          <w:trHeight w:val="358"/>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March 15, 2025</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2060" w:type="dxa"/>
            <w:vAlign w:val="bottom"/>
          </w:tcPr>
          <w:p>
            <w:pPr>
              <w:ind w:left="80"/>
              <w:spacing w:after="0"/>
              <w:rPr>
                <w:sz w:val="20"/>
                <w:szCs w:val="20"/>
                <w:color w:val="auto"/>
              </w:rPr>
            </w:pPr>
            <w:r>
              <w:rPr>
                <w:rFonts w:ascii="Arial" w:cs="Arial" w:eastAsia="Arial" w:hAnsi="Arial"/>
                <w:sz w:val="18"/>
                <w:szCs w:val="18"/>
                <w:color w:val="auto"/>
              </w:rPr>
              <w:t>January 15, 2026</w:t>
            </w:r>
          </w:p>
        </w:tc>
      </w:tr>
      <w:tr>
        <w:trPr>
          <w:trHeight w:val="54"/>
        </w:trPr>
        <w:tc>
          <w:tcPr>
            <w:tcW w:w="4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February 15, 2027</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2028 Notes</w:t>
            </w:r>
          </w:p>
        </w:tc>
        <w:tc>
          <w:tcPr>
            <w:tcW w:w="2060" w:type="dxa"/>
            <w:vAlign w:val="bottom"/>
          </w:tcPr>
          <w:p>
            <w:pPr>
              <w:ind w:left="80"/>
              <w:spacing w:after="0"/>
              <w:rPr>
                <w:sz w:val="20"/>
                <w:szCs w:val="20"/>
                <w:color w:val="auto"/>
              </w:rPr>
            </w:pPr>
            <w:r>
              <w:rPr>
                <w:rFonts w:ascii="Arial" w:cs="Arial" w:eastAsia="Arial" w:hAnsi="Arial"/>
                <w:sz w:val="18"/>
                <w:szCs w:val="18"/>
                <w:color w:val="auto"/>
              </w:rPr>
              <w:t>December 15, 2027</w:t>
            </w:r>
          </w:p>
        </w:tc>
      </w:tr>
      <w:tr>
        <w:trPr>
          <w:trHeight w:val="54"/>
        </w:trPr>
        <w:tc>
          <w:tcPr>
            <w:tcW w:w="4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January 15, 2030</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February 2031 Notes</w:t>
            </w:r>
          </w:p>
        </w:tc>
        <w:tc>
          <w:tcPr>
            <w:tcW w:w="2060" w:type="dxa"/>
            <w:vAlign w:val="bottom"/>
          </w:tcPr>
          <w:p>
            <w:pPr>
              <w:ind w:left="80"/>
              <w:spacing w:after="0"/>
              <w:rPr>
                <w:sz w:val="20"/>
                <w:szCs w:val="20"/>
                <w:color w:val="auto"/>
              </w:rPr>
            </w:pPr>
            <w:r>
              <w:rPr>
                <w:rFonts w:ascii="Arial" w:cs="Arial" w:eastAsia="Arial" w:hAnsi="Arial"/>
                <w:sz w:val="18"/>
                <w:szCs w:val="18"/>
                <w:color w:val="auto"/>
              </w:rPr>
              <w:t>November 15, 2030</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02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0022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Ranking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8"/>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2031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2031</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2040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October 15, 2039</w:t>
            </w:r>
          </w:p>
        </w:tc>
      </w:tr>
      <w:tr>
        <w:trPr>
          <w:trHeight w:val="54"/>
        </w:trPr>
        <w:tc>
          <w:tcPr>
            <w:tcW w:w="188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304"/>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2040</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2050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October 15, 2049</w:t>
            </w:r>
          </w:p>
        </w:tc>
      </w:tr>
      <w:tr>
        <w:trPr>
          <w:trHeight w:val="54"/>
        </w:trPr>
        <w:tc>
          <w:tcPr>
            <w:tcW w:w="188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304"/>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2051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2050</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2060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May 15, 2060</w:t>
            </w:r>
          </w:p>
        </w:tc>
      </w:tr>
    </w:tbl>
    <w:p>
      <w:pPr>
        <w:spacing w:after="0" w:line="202" w:lineRule="exact"/>
        <w:rPr>
          <w:sz w:val="20"/>
          <w:szCs w:val="20"/>
          <w:color w:val="auto"/>
        </w:rPr>
      </w:pPr>
    </w:p>
    <w:p>
      <w:pPr>
        <w:ind w:left="20" w:right="339"/>
        <w:spacing w:after="0" w:line="284" w:lineRule="auto"/>
        <w:rPr>
          <w:sz w:val="20"/>
          <w:szCs w:val="20"/>
          <w:color w:val="auto"/>
        </w:rPr>
      </w:pPr>
      <w:r>
        <w:rPr>
          <w:rFonts w:ascii="Arial" w:cs="Arial" w:eastAsia="Arial" w:hAnsi="Arial"/>
          <w:sz w:val="16"/>
          <w:szCs w:val="16"/>
          <w:color w:val="auto"/>
        </w:rPr>
        <w:t>We have entered into a collateral trust and intercreditor agreement (the “Intercreditor Agreement”) with the Collateral Trustee (as defined under “Description of Notes—General”), the agent and holder representative under the Credit Agreement (as defined under “Description of Other Indebtedness and Certain Financing Obligations—Credit Agreement”), the holder representative under the Existing Sprint Spectrum Lease (as defined under “Description of Other Indebtedness and Certain Financing Transactions—Existing Sprint Spectrum Note Facility”) and the holder representative under the indentures governing the Original Notes, to which the holder representative under the indentures governing the Exchange Notes will become a party.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Exchange Notes:</w:t>
      </w:r>
    </w:p>
    <w:p>
      <w:pPr>
        <w:spacing w:after="0" w:line="117" w:lineRule="exact"/>
        <w:rPr>
          <w:sz w:val="20"/>
          <w:szCs w:val="20"/>
          <w:color w:val="auto"/>
        </w:rPr>
      </w:pPr>
    </w:p>
    <w:p>
      <w:pPr>
        <w:ind w:left="720" w:right="419" w:hanging="350"/>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general unsubordinated obligations of the Issuer;</w:t>
      </w:r>
    </w:p>
    <w:p>
      <w:pPr>
        <w:spacing w:after="0" w:line="62" w:lineRule="exact"/>
        <w:rPr>
          <w:rFonts w:ascii="Arial" w:cs="Arial" w:eastAsia="Arial" w:hAnsi="Arial"/>
          <w:sz w:val="18"/>
          <w:szCs w:val="18"/>
          <w:color w:val="auto"/>
        </w:rPr>
      </w:pPr>
    </w:p>
    <w:p>
      <w:pPr>
        <w:ind w:left="720" w:right="299" w:hanging="350"/>
        <w:spacing w:after="0" w:line="271"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be secured by liens on the Collateral on an equal and ratable basis with the obligations under any Original Notes that remain outstanding after the exchange offer and the Credit Agreement and any other existing (as discussed further herein) and future permitted first priority secured obligations, subject to permitted liens;</w:t>
      </w:r>
    </w:p>
    <w:p>
      <w:pPr>
        <w:spacing w:after="0" w:line="70" w:lineRule="exact"/>
        <w:rPr>
          <w:rFonts w:ascii="Arial" w:cs="Arial" w:eastAsia="Arial" w:hAnsi="Arial"/>
          <w:sz w:val="17"/>
          <w:szCs w:val="17"/>
          <w:color w:val="auto"/>
        </w:rPr>
      </w:pPr>
    </w:p>
    <w:p>
      <w:pPr>
        <w:ind w:left="720" w:right="299" w:hanging="350"/>
        <w:spacing w:after="0" w:line="275"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be senior in right of payment to any future indebtedness of the Issuer to the extent that such future indebtedness provides by its terms that it is subordinated in right of payment to the Notes;</w:t>
      </w:r>
    </w:p>
    <w:p>
      <w:pPr>
        <w:spacing w:after="0" w:line="68" w:lineRule="exact"/>
        <w:rPr>
          <w:rFonts w:ascii="Arial" w:cs="Arial" w:eastAsia="Arial" w:hAnsi="Arial"/>
          <w:sz w:val="17"/>
          <w:szCs w:val="17"/>
          <w:color w:val="auto"/>
        </w:rPr>
      </w:pPr>
    </w:p>
    <w:p>
      <w:pPr>
        <w:ind w:left="720" w:right="479" w:hanging="350"/>
        <w:spacing w:after="0" w:line="27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be effectively senior to all existing and future unsecured indebtedness of the Issuer and any future indebtedness of the Issuer secured by a junior lien on the Collateral, in each case to the extent of the value of the Collateral securing the obligations under the Notes;</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307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307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rank equal in right of payment with any of</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Issuer’s existing and future indebtedness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other liabilities that are not by their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in right of payment to the Notes,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including, without limitation, the obligations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under any Original Notes that remain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outstanding after the exchange offer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Credit Agreement, the Existing T-Mobile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(as defined under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“Description of Other Indebtedness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Financing Transactions—Existing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Sprint Unsecured Notes”) and the Tower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effectively subordinated to all existing</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and future indebtedness that is secured by</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liens on assets that do not constitute Collateral,</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 the extent of the value of such assets;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liabilities and other obligations of the Issuer’s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subsidiaries that are not obligors with respect</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 the Notes, including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Spectrum-Backed Notes, factoring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arrangements and tower obligations;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unconditionally guaranteed on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 a senior secured basis by the Secured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Guarantors (as defined under “Description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Notes—Certain Definitions”) and (ii) a senior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unsecured basis by the Unsecured Guarantors.</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the Notes—The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and the Guarantees will be structurally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subordinated to the indebtedness and other liabilities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Issuer’s non-guarantor subsidiaries.”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the Q1</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Redemption, we would have had approximately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$81.4 billion of outstanding indebtedness and other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obligations, excluding letter of credit obligations,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including $31.8 billion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indebtedness, consisting of the Original Notes. In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addition, we would have had $17.9 billion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outstanding unsecured indebtedness under the Existing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T-Mobile Unsecured Notes, $19.8 billion of outstanding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unsecured indebtedness under the Existing Sprint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Unsecured Notes, and approximately $3.0 billion in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unsecured Tower Obligations. We also would have had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$5.5 billion of revolving borrowings available on a</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secured basis under the Credit Agreement.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 of December 31, 2020, an aggregate principal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amount of $4.6 billion of Existing Sprint Spectrum-</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Backed Notes was outstanding and up to $2.4 billion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remained available for issuance under the Sprint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Spectrum Note Facility. The Existing Sprint Spectrum</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 Entities own a separate pool of 2.5 GHz and 1.9</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GHz spectrum which has been pledged to secure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under the Sprint Spectrum Note Facility.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This spectrum will not secure the Exchange Notes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any other permitted first priority secured obligations.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Note Guarantees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99"/>
        <w:spacing w:after="0" w:line="285" w:lineRule="auto"/>
        <w:rPr>
          <w:sz w:val="20"/>
          <w:szCs w:val="20"/>
          <w:color w:val="auto"/>
        </w:rPr>
      </w:pPr>
      <w:r>
        <w:rPr>
          <w:rFonts w:ascii="Arial" w:cs="Arial" w:eastAsia="Arial" w:hAnsi="Arial"/>
          <w:sz w:val="16"/>
          <w:szCs w:val="16"/>
          <w:color w:val="auto"/>
        </w:rPr>
        <w:t>The Exchange Notes will be guaranteed by Parent and any wholly-owned subsidiary of the Issuer that is not an Excluded Subsidiary and is or becomes an obligor of the Credit Agreement or issues or guarantees certain capital markets debt securities (including, for the avoidance of doubt, Sprint and its wholly-owned domestic subsidiaries, other than certain Excluded Subsidiaries that will not guarantee the Notes, and except that the Guarantees of Sprint, Sprint Communications, Inc. and Sprint Capital Corporation will be provided on a senior unsecured basis), and any future direct or indirect subsidiary of T-Mobile US or any subsidiary thereof that owns capital stock of T-Mobile USA. See “Description of Notes—Brief Description of the Notes and the Note Guarantees—The Note Guarantees.” Each Guarantee of the Exchange Notes by a guarantor:</w:t>
      </w:r>
    </w:p>
    <w:p>
      <w:pPr>
        <w:spacing w:after="0" w:line="68"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59"/>
        <w:spacing w:after="0" w:line="277" w:lineRule="auto"/>
        <w:rPr>
          <w:sz w:val="20"/>
          <w:szCs w:val="20"/>
          <w:color w:val="auto"/>
        </w:rPr>
      </w:pPr>
      <w:r>
        <w:rPr>
          <w:rFonts w:ascii="Arial" w:cs="Arial" w:eastAsia="Arial" w:hAnsi="Arial"/>
          <w:sz w:val="18"/>
          <w:szCs w:val="18"/>
          <w:color w:val="auto"/>
        </w:rPr>
        <w:t>will be a general unsubordinated obligation of such guarantor;</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59"/>
        <w:spacing w:after="0" w:line="291" w:lineRule="auto"/>
        <w:rPr>
          <w:sz w:val="20"/>
          <w:szCs w:val="20"/>
          <w:color w:val="auto"/>
        </w:rPr>
      </w:pPr>
      <w:r>
        <w:rPr>
          <w:rFonts w:ascii="Arial" w:cs="Arial" w:eastAsia="Arial" w:hAnsi="Arial"/>
          <w:sz w:val="16"/>
          <w:szCs w:val="16"/>
          <w:color w:val="auto"/>
        </w:rPr>
        <w:t>with respect to Subsidiary Guarantors (as defined under “Description of Notes—Certain</w:t>
      </w:r>
    </w:p>
    <w:p>
      <w:pPr>
        <w:spacing w:after="0" w:line="1"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5340"/>
        <w:spacing w:after="0"/>
        <w:rPr>
          <w:sz w:val="20"/>
          <w:szCs w:val="20"/>
          <w:color w:val="auto"/>
        </w:rPr>
      </w:pPr>
      <w:r>
        <w:rPr>
          <w:rFonts w:ascii="Arial" w:cs="Arial" w:eastAsia="Arial" w:hAnsi="Arial"/>
          <w:sz w:val="18"/>
          <w:szCs w:val="18"/>
          <w:color w:val="auto"/>
        </w:rPr>
        <w:t>Definitions”) other than the Unsecured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Guarantors, will be secured by liens on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Collateral on an equal and ratable basis with</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obligations under any Original Notes that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remain outstanding after the exchange offer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and the Credit Agreement and obligations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under any other existing (as further discussed</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herein) and future permitted first priority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secured obligations, subject to permitted liens;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will be senior in right of payment to any future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that guarantor to the extent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such future indebtedness provides by its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terms that it is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payment to such guarantor’s Guarantee; with</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respect to Subsidiary Guarantors other than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Guarantors, will be effectively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to all existing and future unsecured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indebtedness of the guarantor and any future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the guarantor secured by a</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junior lien on the Collateral, in each case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extent of the value of the Collateral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securing the obligations under the Guarantee;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will be equal in right of payment with any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that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indebtedness and other liabilities that are not</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their terms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the Notes,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limitation, obligations under any Original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Notes that remain outstanding after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offer, the Credit Agreement,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T-Mobile Unsecured Notes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Existing Sprint Unsecured Notes;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effectively subordinated to any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Unsecured Guarantor’s existing and future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secured indebtedness to the extent of the value</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of the assets of such Unsecured Guarantor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constituting collateral securing such</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(as defined under “Description</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of Notes—Certain Definitions”);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indebtedness and other obligations of any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of that guarantor that are not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obligors with respect to the Notes; and</w:t>
      </w:r>
    </w:p>
    <w:p>
      <w:pPr>
        <w:spacing w:after="0" w:line="103" w:lineRule="exact"/>
        <w:rPr>
          <w:sz w:val="20"/>
          <w:szCs w:val="20"/>
          <w:color w:val="auto"/>
        </w:rPr>
      </w:pPr>
    </w:p>
    <w:p>
      <w:pPr>
        <w:jc w:val="center"/>
        <w:ind w:left="46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the case of the Guarantees of Sprint, Sprint</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Communications, Inc. and Sprint Capital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Corporation, which will be provided on a</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unsecured basis, will be effectively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to such Unsecured Guarantors’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and future secured indebtedness,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extent of the value of the collateral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securing such debt.</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the Notes—The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Unsecured Guarantees will be unsecured and effectively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subordinated to the Unsecured Guarantors’ existing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future secured indebtedness” and “Risk Factors—Risks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Related to the Notes—The Notes and the Guarantees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will be structurally subordinated to the indebtedness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other liabilities of the Issuer’s non-guarantor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subsidiaries.”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of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the Q1</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Redemption, subsidiaries that do not provide guarantees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the Original Notes and will not provide guarantees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Exchange Notes that were included in Parent’s 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Sprint’s consolidated financial statements, as applicable,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as of such date had approximately $12.2 billion of total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assets and approximately $6.7 billion in indebtedness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Tower Obligations outstanding. Assuming that 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December 31, 2020, we had completed the Q1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Issuances and the Q1 Redemption, the Unsecured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Guarantors would have had approximately $0.3 billion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total assets and approximately $69.4 billion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63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color w:val="auto"/>
                <w:w w:val="97"/>
              </w:rPr>
              <w:t>indebtedness that they had issued or guaranteed on an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unsecured basis, $0 in indebtedness that they had issued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or guaranteed on a secured basis, and approximately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$4.6 billion in payment obligations under the Existing</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Sprint Spectrum Lease that they had guaranteed.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If Parent has achieved an investment grade corporate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rating and an investment grade rating of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Notes after giving effect to the proposed release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guarantees of its subsidiaries and the proposed release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the security interest in the Collateral from two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following: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Moody’s Investors Service, Inc. and Fitch Ratings, Inc.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certain other conditions are met, the Issuer may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elect to have the guarantees of its subsidiaries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permanently released. There can be no assurance that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Parent or the Exchange Notes will ever be 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investment grade after giving effect to such releases,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that, if they are, Parent or the Exchange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6"/>
              </w:rPr>
              <w:t>maintain these ratings. See “Description of Notes—Brief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Description of the Notes and the Note Guarantees—The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Note Guarantees.”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Security</w:t>
            </w: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The Exchange Notes and the Guarantees (other than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Unsecured Guarantees) will be secured by a first priority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security interest, subject to permitted liens,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substantially all of the Issuer’s and the 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guarantors’ assets, other than Excluded Assets (as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defined under “Description of Notes—Collateral—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Excluded Assets”) which assets also secure on an equal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ratable basis the obligations under any Original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Notes that remain outstanding after the exchange offer,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the Credit Agreement and any other existing and future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permitted first priority secured obligations.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To the extent any liens are released in connection with</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foreclosure on or other exercise of remedies with respect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to the Collateral, pursuant to the Credit Agreement,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Existing Sprint Spectrum Lease or any other permitted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first priority secured obligations subject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Intercreditor Agreement, the liens on such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securing the Exchange Notes and the Guarantees and all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6"/>
              </w:rPr>
              <w:t>other equally and ratably secured indebtedness will also</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be released. See “Description of Notes—Collateral.”</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If Parent has achieved an investment grade corporate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rating and an investment grade rating of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Notes after giving effect to the proposed release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guarantees of its subsidiaries and the proposed release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the security interest in the Collateral from two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following: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Moody’s Investors Service, Inc. and Fitch Ratings, Inc.,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certain other conditions are met, the Issuer may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elect to have the security interest securing</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Pr>
          <w:p>
            <w:pPr>
              <w:ind w:left="174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0" w:name="page21"/>
    <w:bookmarkEnd w:id="20"/>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590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the Exchange Notes and the secured Guarantees in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Collateral permanently released. There can be no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assurance that the Exchange Notes will ever be 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investment grade after giving effect to such releases,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that, if they are, the Exchange Notes will maintain these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ratings. See “Description of Notes—Collateral—</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w w:val="85"/>
              </w:rPr>
              <w:t>Release.”</w:t>
            </w:r>
          </w:p>
        </w:tc>
        <w:tc>
          <w:tcPr>
            <w:tcW w:w="36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The Unsecured Guarantors are each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restrictions from granting liens on each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respective assets, pursuant to covenants provided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their various existing debt agreements. Consequently,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obligations under the Exchange Notes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effectively subordinated to any Unsecured Guarantor’s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existing and future secured indebtedness to the extent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value of the assets of such Unsecured Guarantor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constituting collateral securing such Indebtedness.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Assuming that on December 31, 2020, we had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completed the Q1 Notes Issuances and the Q1</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Redemption, the Unsecured Guarantors would have had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approximately $0.3 billion of total assets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approximately $69.4 billion in indebtedness that they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had issued or guaranteed on an unsecured basis, $0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indebtedness that they had issued or guaranteed on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secured basis, and approximately $4.6 billion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payment obligations under the Existing Sprint Spectrum</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Lease that they had guaranteed.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See “Risk Factors—Risks Related to the Notes—The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Unsecured Guarantees will be unsecured and effectively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subordinated to the Unsecured Guarantors’ existing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future secured indebtedness.” Excluded Assets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include, among other things, Permitted Receivables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Financing Assets (as defined under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Notes—Certain Definitions”).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In addition, the Sprint Spectrum Portfolio (as defined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under “Description of Other Indebtedness and 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Financing Transactions—Existing Sprint Note Facility”)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securing the Existing Sprint Spectrum-Backed Notes is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pledged to secure such indebtedness and will not secure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Exchange Notes.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98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indentures governing the Exchange Notes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contain covenants that, among other things, limit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ability of the Issuer and certain of its subsidiaries to:</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create liens or other encumbrances in respect</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indebtedness for borrowed money;</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merge, consolidate or sell, or otherwise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dispose of, substantially all of their assets;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a subsidiary guarantee of debt incurred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 Credit Agreement or certain capital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markets debt without also providing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guarantee of the Exchange Notes.</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340"/>
              <w:spacing w:after="0"/>
              <w:rPr>
                <w:sz w:val="20"/>
                <w:szCs w:val="20"/>
                <w:color w:val="auto"/>
              </w:rPr>
            </w:pPr>
            <w:r>
              <w:rPr>
                <w:rFonts w:ascii="Arial" w:cs="Arial" w:eastAsia="Arial" w:hAnsi="Arial"/>
                <w:sz w:val="18"/>
                <w:szCs w:val="18"/>
                <w:color w:val="auto"/>
              </w:rPr>
              <w:t>15</w:t>
            </w: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1" w:name="page22"/>
    <w:bookmarkEnd w:id="21"/>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5100" w:type="dxa"/>
            <w:vAlign w:val="bottom"/>
            <w:tcBorders>
              <w:top w:val="single" w:sz="8" w:color="auto"/>
              <w:right w:val="single" w:sz="8" w:color="auto"/>
            </w:tcBorders>
            <w:gridSpan w:val="3"/>
          </w:tcPr>
          <w:p>
            <w:pPr>
              <w:ind w:left="760"/>
              <w:spacing w:after="0"/>
              <w:rPr>
                <w:sz w:val="20"/>
                <w:szCs w:val="20"/>
                <w:color w:val="auto"/>
              </w:rPr>
            </w:pPr>
            <w:r>
              <w:rPr>
                <w:rFonts w:ascii="Arial" w:cs="Arial" w:eastAsia="Arial" w:hAnsi="Arial"/>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8"/>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later in this prospectus under the caption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Notes—Certain Covenants.”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If Parent or the Issuer experiences a Change of Control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Triggering Event (as defined under “Description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Notes—Certain Definitions”), the Issuer must make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4"/>
              </w:rPr>
              <w:t>offer to each holder to repurchase the Exchange Notes at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8"/>
              </w:rPr>
              <w:t>a price in cash equal to 101% of their principal amount,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plus accrued and unpaid interest, if any, to, but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including, the purchase date. See “Description of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—Repurchase at the Option of Holders—Change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Control Triggering Event.”</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Listing</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Issuer does not intend to apply for the Exchange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 to be listed on any securities exchange or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arrange for the Exchange Notes to be quoted on any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quotation system.</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Denominations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Exchange Notes will be issued in minimum</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denominations of $2,000 and integral multiples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$1,000 in excess thereof.</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Absence of Public Market for the Notes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 liquid market for the Exchange Notes may not be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available if you wish to sell your Exchange Notes.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The Exchange Notes constitute new issues of securities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for which there is no established trading market.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active trading market may not develop for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 or, if developed, may not continue. If an active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public trading market for the Exchange Notes does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develop or ceases to exist, the market price and liquidity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of the Exchange Notes may be adversely affected.</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Trustee</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Trustee for the Exchange Notes will be Deutsche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Bank Trust Company Americas.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Exchange Notes, the Security Documents (as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defined under “Description of Notes—Certain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Definitions”), the indentures governing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Notes and the Guarantees will be governed by the laws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of the State of New York.</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You should consider carefully all of the information set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forth in this prospectus and the documents incorporated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by reference herein and, in particular, you should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carefully evaluate the specific factors under “Risk</w:t>
            </w:r>
          </w:p>
        </w:tc>
        <w:tc>
          <w:tcPr>
            <w:tcW w:w="1040" w:type="dxa"/>
            <w:vAlign w:val="bottom"/>
          </w:tcPr>
          <w:p>
            <w:pPr>
              <w:spacing w:after="0"/>
              <w:rPr>
                <w:sz w:val="18"/>
                <w:szCs w:val="18"/>
                <w:color w:val="auto"/>
              </w:rPr>
            </w:pPr>
          </w:p>
        </w:tc>
      </w:tr>
      <w:tr>
        <w:trPr>
          <w:trHeight w:val="190"/>
        </w:trPr>
        <w:tc>
          <w:tcPr>
            <w:tcW w:w="1100" w:type="dxa"/>
            <w:vAlign w:val="bottom"/>
            <w:tcBorders>
              <w:right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5100" w:type="dxa"/>
            <w:vAlign w:val="bottom"/>
            <w:tcBorders>
              <w:right w:val="single" w:sz="8" w:color="auto"/>
            </w:tcBorders>
            <w:gridSpan w:val="3"/>
          </w:tcPr>
          <w:p>
            <w:pPr>
              <w:ind w:left="76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Factors” beginning on page </w:t>
            </w:r>
            <w:hyperlink w:anchor="page23">
              <w:r>
                <w:rPr>
                  <w:rFonts w:ascii="Arial" w:cs="Arial" w:eastAsia="Arial" w:hAnsi="Arial"/>
                  <w:sz w:val="18"/>
                  <w:szCs w:val="18"/>
                  <w:color w:val="0000EE"/>
                </w:rPr>
                <w:t>17</w:t>
              </w:r>
              <w:r>
                <w:rPr>
                  <w:rFonts w:ascii="Arial" w:cs="Arial" w:eastAsia="Arial" w:hAnsi="Arial"/>
                  <w:sz w:val="18"/>
                  <w:szCs w:val="18"/>
                  <w:color w:val="auto"/>
                </w:rPr>
                <w:t xml:space="preserve"> </w:t>
              </w:r>
            </w:hyperlink>
            <w:r>
              <w:rPr>
                <w:rFonts w:ascii="Arial" w:cs="Arial" w:eastAsia="Arial" w:hAnsi="Arial"/>
                <w:sz w:val="18"/>
                <w:szCs w:val="18"/>
                <w:color w:val="auto"/>
              </w:rPr>
              <w:t>of this prospectus and</w:t>
            </w:r>
          </w:p>
        </w:tc>
        <w:tc>
          <w:tcPr>
            <w:tcW w:w="1040" w:type="dxa"/>
            <w:vAlign w:val="bottom"/>
          </w:tcPr>
          <w:p>
            <w:pPr>
              <w:spacing w:after="0"/>
              <w:rPr>
                <w:sz w:val="16"/>
                <w:szCs w:val="16"/>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those risk factors incorporated by reference herein.</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tcPr>
          <w:p>
            <w:pPr>
              <w:ind w:left="5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i w:val="1"/>
          <w:iCs w:val="1"/>
          <w:color w:val="auto"/>
        </w:rPr>
        <w:t>Prior to making a decision to participate in the exchange offer, you should carefully consider the risks described below, as well as the risks and other information contained or incorporated by reference in this prospectus, including the “Risk Factors” in Parent’s Annual Report on Form 10-K for the year ended December 31, 2020. If any of the risks described in this prospectus, or the risks described in any documents incorporated by reference in this prospectus, actually occur, our business, prospects, financial condition or operating results could be harmed. In such case, the trading price of the Notes could decline, and you may lose all or part of your investment.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Exchange Offer</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Your Original Notes will not be accepted for exchange if you fail to follow the exchange offer procedures.</w:t>
      </w:r>
    </w:p>
    <w:p>
      <w:pPr>
        <w:spacing w:after="0" w:line="140"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We will issue Exchange Notes pursuant to the exchange offer only after a timely receipt of your Original Notes, a properly completed and duly executed letter of transmittal and all other required documents. Therefore, if you want to tender your Original Notes, please allow sufficient time to ensure timely delivery. If we do not receive your Original Notes, letter of transmittal and other required documents by the expiration time of the exchange offer, we will not accept your Original Notes for exchange. We are generally under no duty to give notification of defects or irregularities with respect to the tenders of Original Notes for exchange. If there are defects or irregularities with respect to your tender of Original Notes, we may not accept your Original Notes for exchange.</w:t>
      </w:r>
    </w:p>
    <w:p>
      <w:pPr>
        <w:spacing w:after="0" w:line="166" w:lineRule="exact"/>
        <w:rPr>
          <w:sz w:val="20"/>
          <w:szCs w:val="20"/>
          <w:color w:val="auto"/>
        </w:rPr>
      </w:pPr>
    </w:p>
    <w:p>
      <w:pPr>
        <w:ind w:left="300" w:right="859"/>
        <w:spacing w:after="0" w:line="308" w:lineRule="auto"/>
        <w:rPr>
          <w:sz w:val="20"/>
          <w:szCs w:val="20"/>
          <w:color w:val="auto"/>
        </w:rPr>
      </w:pPr>
      <w:r>
        <w:rPr>
          <w:rFonts w:ascii="Arial" w:cs="Arial" w:eastAsia="Arial" w:hAnsi="Arial"/>
          <w:sz w:val="17"/>
          <w:szCs w:val="17"/>
          <w:b w:val="1"/>
          <w:bCs w:val="1"/>
          <w:i w:val="1"/>
          <w:iCs w:val="1"/>
          <w:color w:val="auto"/>
        </w:rPr>
        <w:t>If you do not exchange your Original Notes, your Original Notes will continue to be subject to the existing transfer restrictions and you may be unable to sell your outstanding Original Notes.</w:t>
      </w:r>
    </w:p>
    <w:p>
      <w:pPr>
        <w:spacing w:after="0" w:line="38"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did not register the Original Notes and do not intend to do so following the exchange offer. Original Notes that are not tendered will therefore continue to be subject to the existing transfer restrictions and may be transferred only in limited circumstances under applicable securities laws. Because we anticipate that most holders of the Original Notes will elect to exchange their Original Notes for Exchange Notes due to the absence of restrictions on the resale of Exchange Notes under the Securities Act, we anticipate that the liquidity of the market for any Original Notes remaining after the completion of this exchange offer may be substantially limited. If you do not exchange your Original Notes, you will lose your right, except in limited circumstances, to have your Original Notes registered under the federal securities laws. As a result, if you hold Original Notes after the exchange offer, you may be unable to sell your Original Notes and the value of the Original Notes may decline. We have no obligation, except in limited circumstances, and do not currently intend, to file an additional registration statement to cover the resale of Original Notes that did not tender in the exchange offer or to re-offer to exchange the Exchange Notes for Original Notes following the expiration of the exchange offer.</w:t>
      </w:r>
    </w:p>
    <w:p>
      <w:pPr>
        <w:spacing w:after="0" w:line="179"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Exchange Notes.</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Exchange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Exchange Notes. In these cases, if you transfer any Exchange Note without delivering a prospectus meeting the requirements of the Securities Act or without an exemption from registration of your Exchange Notes under the Securities Act, you may incur liability under the Securities Act. We do not and will not assume, or indemnify you against, this liability.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300" w:right="819"/>
        <w:spacing w:after="0" w:line="342" w:lineRule="auto"/>
        <w:rPr>
          <w:sz w:val="20"/>
          <w:szCs w:val="20"/>
          <w:color w:val="auto"/>
        </w:rPr>
      </w:pPr>
      <w:r>
        <w:rPr>
          <w:rFonts w:ascii="Arial" w:cs="Arial" w:eastAsia="Arial" w:hAnsi="Arial"/>
          <w:sz w:val="16"/>
          <w:szCs w:val="16"/>
          <w:b w:val="1"/>
          <w:bCs w:val="1"/>
          <w:i w:val="1"/>
          <w:iCs w:val="1"/>
          <w:color w:val="auto"/>
        </w:rPr>
        <w:t>Our actual financial position and results of operations may differ materially from the unaudited pro forma condensed combined financial information incorporated by reference in this prospectus.</w:t>
      </w:r>
    </w:p>
    <w:p>
      <w:pPr>
        <w:spacing w:after="0" w:line="16" w:lineRule="exact"/>
        <w:rPr>
          <w:sz w:val="20"/>
          <w:szCs w:val="20"/>
          <w:color w:val="auto"/>
        </w:rPr>
      </w:pPr>
    </w:p>
    <w:p>
      <w:pPr>
        <w:ind w:left="300" w:right="559" w:firstLine="360"/>
        <w:spacing w:after="0" w:line="340" w:lineRule="auto"/>
        <w:rPr>
          <w:sz w:val="20"/>
          <w:szCs w:val="20"/>
          <w:color w:val="auto"/>
        </w:rPr>
      </w:pPr>
      <w:r>
        <w:rPr>
          <w:rFonts w:ascii="Arial" w:cs="Arial" w:eastAsia="Arial" w:hAnsi="Arial"/>
          <w:sz w:val="15"/>
          <w:szCs w:val="15"/>
          <w:color w:val="auto"/>
        </w:rPr>
        <w:t>The unaudited pro forma condensed combined financial information incorporated by reference in this prospectus is presented for illustrative purposes only and may not be an accurate indication of what results of operations would have been had the Transactions been completed on the dates assumed. The unaudited pro forma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condensed combined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spacing w:after="0" w:line="63"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In addition, the assumptions used in preparing the unaudited pro forma condensed combined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unaudited pro forma condensed combined financial information in this prospectus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March 16, 2021.</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financial condition and operating results.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and we expect that we will continue to have, a substantial amount of debt. Assuming that 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December 31, 2020, we had completed the Q1 Notes Issuances and the Q1 Redemption, we would have had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approximately $81.4 billion of outstanding indebtedness and other obligations, excluding letter of credit obligations,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including $31.8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indebtedness, consisting of the Original Notes. In addition, we would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have had $17.9 billion of outstanding unsecured indebtedness under the Existing T-Mobile Unsecured Notes,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$19.8 billion of outstanding unsecured indebtedness under the Existing Sprint Unsecured Notes, and approximately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 billion in unsecured Tower Obligations. We also would have had $5.5 billion of revolving borrowings available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a secured basis under the Credit Agreement. In addition, as of December 31, 2020, an aggregate principal amount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$4.6 billion of Existing Sprint Spectrum-Backed Notes was outstanding and up to $2.4 billion remained available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issuance under the Sprint Spectrum Note Facility.</w:t>
      </w:r>
    </w:p>
    <w:p>
      <w:pPr>
        <w:spacing w:after="0" w:line="103"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p>
      <w:pPr>
        <w:spacing w:after="0" w:line="63" w:lineRule="exact"/>
        <w:rPr>
          <w:sz w:val="20"/>
          <w:szCs w:val="20"/>
          <w:color w:val="auto"/>
        </w:rPr>
      </w:pPr>
    </w:p>
    <w:p>
      <w:pPr>
        <w:ind w:left="1000" w:right="45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 or changes in service plans or pricing by us or our competitors;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acceptance of our service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our costs and maintain our current cost structure;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grow our customer base and maintain projected levels of churn.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debt service obligations could have important material consequences to you, including the following:</w:t>
      </w:r>
    </w:p>
    <w:p>
      <w:pPr>
        <w:spacing w:after="0" w:line="129" w:lineRule="exact"/>
        <w:rPr>
          <w:sz w:val="20"/>
          <w:szCs w:val="20"/>
          <w:color w:val="auto"/>
        </w:rPr>
      </w:pPr>
    </w:p>
    <w:p>
      <w:pPr>
        <w:ind w:left="1000" w:right="799" w:hanging="348"/>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ability to borrow money or sell stock to fund working capital, capital expenditures, debt service requirements, acquisitions, technological initiatives and other general corporate purposes;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indebtedness and satisfy obligations under the Notes;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including as a result of pandemics and other macroeconomic conditions, and industry conditions and limiting our ability to withstand competitive pressure;</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the communications industry or pursuing growth opportunities;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increase our capital expenditures to roll out new services or to upgrade our networks to new technologies, such as LTE and 5G;</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purchase additional spectrum, expand existing service areas or develop new metropolitan areas in the future;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who are less leveraged than we are.</w:t>
      </w:r>
    </w:p>
    <w:p>
      <w:pPr>
        <w:spacing w:after="0" w:line="117"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spacing w:after="0" w:line="41"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 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spacing w:after="0" w:line="63"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Some of our debt also has a floating rate of interest linked to various indices. If changes in the indices result in interest rate increases, debt service requirements will increase, which could adversely affect our cash flow and operating results.</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Any of these risks could have a material adverse effect on our business, financial condition and operating results.</w:t>
      </w:r>
    </w:p>
    <w:p>
      <w:pPr>
        <w:spacing w:after="0" w:line="1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b w:val="1"/>
          <w:bCs w:val="1"/>
          <w:i w:val="1"/>
          <w:iCs w:val="1"/>
          <w:color w:val="auto"/>
        </w:rPr>
        <w:t>Even with our current levels of indebtedness, we may incur additional indebtedness. This could further exacerbate the risks associated with our leverage.</w:t>
      </w:r>
    </w:p>
    <w:p>
      <w:pPr>
        <w:spacing w:after="0" w:line="62"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 Notes do not limit our ability to incur unsecured indebtedness, and allow us to incur substantial secured indebtedness. The more leveraged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63" w:lineRule="auto"/>
        <w:rPr>
          <w:sz w:val="20"/>
          <w:szCs w:val="20"/>
          <w:color w:val="auto"/>
        </w:rPr>
      </w:pPr>
      <w:r>
        <w:rPr>
          <w:rFonts w:ascii="Arial" w:cs="Arial" w:eastAsia="Arial" w:hAnsi="Arial"/>
          <w:sz w:val="18"/>
          <w:szCs w:val="18"/>
          <w:color w:val="auto"/>
        </w:rPr>
        <w:t>become, the more we, and in turn the holders of our securities, become exposed to the risks described above in the risk factor entitled “Our substantial indebtedness could adversely affect our business, financial condition and operating results.”</w:t>
      </w:r>
    </w:p>
    <w:p>
      <w:pPr>
        <w:spacing w:after="0" w:line="184"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The Unsecured Guarantees will be unsecured and effectively subordinated to the Unsecured Guarantors’ existing and future secured indebtedness.</w:t>
      </w:r>
    </w:p>
    <w:p>
      <w:pPr>
        <w:spacing w:after="0" w:line="62"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Unsecured Guarantees will be general unsecured, unsubordinated obligations ranking effectively junior in right of payment to all existing and future secured debt of the Unsecured Guarantors, to the extent of the value of the collateral securing such debt. 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spacing w:after="0" w:line="69"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If an Unsecured Guarantor is declared bankrupt, becomes insolvent or is liquidated or reorganized, any secured debt of that Unsecured Guarantor will be entitled to be paid in full from the assets of the Unsecured Guarantor securing that debt before any payment may be made with respect to the Guarantees of such Unsecured Guarantor.</w:t>
      </w:r>
    </w:p>
    <w:p>
      <w:pPr>
        <w:spacing w:after="0" w:line="4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Holders of the Notes will participate ratably in any remaining assets with all other holders of the Unsecured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Notes would likely receive less, ratably, than holders of secured obligations of the Unsecured Guarantors. It is possible that with respect to the Unsecured Guarantees, there will be no assets from which claims of holders of the Notes can be satisfied.</w:t>
      </w:r>
    </w:p>
    <w:p>
      <w:pPr>
        <w:spacing w:after="0" w:line="164"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structurally subordinated to the indebtedness and other liabilities of the Issuer’s non-guarantor subsidiaries.</w:t>
      </w:r>
    </w:p>
    <w:p>
      <w:pPr>
        <w:spacing w:after="0" w:line="62" w:lineRule="exact"/>
        <w:rPr>
          <w:sz w:val="20"/>
          <w:szCs w:val="20"/>
          <w:color w:val="auto"/>
        </w:rPr>
      </w:pPr>
    </w:p>
    <w:p>
      <w:pPr>
        <w:ind w:left="300" w:right="419" w:firstLine="360"/>
        <w:spacing w:after="0" w:line="283" w:lineRule="auto"/>
        <w:rPr>
          <w:sz w:val="20"/>
          <w:szCs w:val="20"/>
          <w:color w:val="auto"/>
        </w:rPr>
      </w:pPr>
      <w:r>
        <w:rPr>
          <w:rFonts w:ascii="Arial" w:cs="Arial" w:eastAsia="Arial" w:hAnsi="Arial"/>
          <w:sz w:val="16"/>
          <w:szCs w:val="16"/>
          <w:color w:val="auto"/>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 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 direct or indirect equity interests in such subsidiaries. Certain subsidiaries of the Issuer that are prohibited from providing guarantees of the Notes (such as special purpose finance entities and a reinsurance subsidiary), as well as non-wholly owned and immaterial subsidiaries do not provide guarantees of the Original Notes and will not provide guarantees of the Notes. Assuming that on December 31, 2020, we had completed the Q1 Notes Issuances and the Q1 Redemption, subsidiaries that do not provide guarantees of the Original Notes and will not provide guarantees of the Exchange Notes that were included in Parent’s consolidated financial statements as of such date had approximately</w:t>
      </w:r>
    </w:p>
    <w:p>
      <w:pPr>
        <w:spacing w:after="0" w:line="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$12.2 billion of total assets and approximately $6.7 billion in indebtedness and Tower Obligations outstanding. See “—The value of the Collateral securing the Notes and the related guarantees may not be sufficient to satisfy our and the guarantors’ obligations under the Notes” and “Description of Notes—Brief Description of the Notes and the Note Guarantees—The Note Guarantees.”</w:t>
      </w:r>
    </w:p>
    <w:p>
      <w:pPr>
        <w:spacing w:after="0" w:line="193"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In order to service our debt, we will require a significant amount of cash, which may not be available to us on attractive terms or at all.</w:t>
      </w:r>
    </w:p>
    <w:p>
      <w:pPr>
        <w:spacing w:after="0" w:line="62"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governing the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spacing w:after="0" w:line="27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Further, should we need to raise additional capital, the foreign ownership restrictions mandated by the FCC, and applicable to us, could limit our ability to attract additional equity financing outside the United States.</w:t>
      </w:r>
    </w:p>
    <w:p>
      <w:pPr>
        <w:spacing w:after="0" w:line="286"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b w:val="1"/>
          <w:bCs w:val="1"/>
          <w:i w:val="1"/>
          <w:iCs w:val="1"/>
          <w:color w:val="auto"/>
        </w:rPr>
        <w:t>Upon certain events including a change of control triggering event, we may be required to offer to repurchase all of the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spacing w:after="0" w:line="68"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Original Notes, the Existing T-Mobile Unsecured Notes, the Existing Sprint Spectrum-Backed Notes and certain of the Existing Sprint Unsecured Notes provide, and the indentures governing the Exchange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Unsecured Notes, all outstanding Existing Sprint Spectrum-Backed Notes, the applicable Existing Sprint Unsecured Notes and all outstanding Notes at 101% of the principal amount thereof plus accrued and unpaid interest, if any, to, but not including, the date of repurchase. See “Description of Notes—Repurchase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spacing w:after="0" w:line="61" w:lineRule="exact"/>
        <w:rPr>
          <w:sz w:val="20"/>
          <w:szCs w:val="20"/>
          <w:color w:val="auto"/>
        </w:rPr>
      </w:pPr>
    </w:p>
    <w:p>
      <w:pPr>
        <w:ind w:left="300" w:right="579" w:firstLine="360"/>
        <w:spacing w:after="0" w:line="301" w:lineRule="auto"/>
        <w:rPr>
          <w:sz w:val="20"/>
          <w:szCs w:val="20"/>
          <w:color w:val="auto"/>
        </w:rPr>
      </w:pPr>
      <w:r>
        <w:rPr>
          <w:rFonts w:ascii="Arial" w:cs="Arial" w:eastAsia="Arial" w:hAnsi="Arial"/>
          <w:sz w:val="16"/>
          <w:szCs w:val="16"/>
          <w:color w:val="auto"/>
        </w:rPr>
        <w:t>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spacing w:after="0" w:line="4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The failure to purchase the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Exchange Notes. Any such event of default would likely trigger an event of default on other outstanding or future indebtedness.</w:t>
      </w:r>
    </w:p>
    <w:p>
      <w:pPr>
        <w:spacing w:after="0" w:line="354" w:lineRule="exact"/>
        <w:rPr>
          <w:sz w:val="20"/>
          <w:szCs w:val="20"/>
          <w:color w:val="auto"/>
        </w:rPr>
      </w:pPr>
    </w:p>
    <w:p>
      <w:pPr>
        <w:jc w:val="both"/>
        <w:ind w:left="300" w:right="419"/>
        <w:spacing w:after="0" w:line="263" w:lineRule="auto"/>
        <w:rPr>
          <w:sz w:val="20"/>
          <w:szCs w:val="20"/>
          <w:color w:val="auto"/>
        </w:rPr>
      </w:pPr>
      <w:r>
        <w:rPr>
          <w:rFonts w:ascii="Arial" w:cs="Arial" w:eastAsia="Arial" w:hAnsi="Arial"/>
          <w:sz w:val="18"/>
          <w:szCs w:val="18"/>
          <w:b w:val="1"/>
          <w:bCs w:val="1"/>
          <w:i w:val="1"/>
          <w:iCs w:val="1"/>
          <w:color w:val="auto"/>
        </w:rPr>
        <w:t>The indentures governing the Notes, the Existing T-Mobile Unsecured Notes and the Existing Sprint Unsecured Notes, the Credit Agreement and other financing arrangements include or will include restrictive covenants that limit our operating flexibility.</w:t>
      </w:r>
    </w:p>
    <w:p>
      <w:pPr>
        <w:spacing w:after="0" w:line="76"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indentures governing the Original Notes, the Existing T-Mobile Unsecured Notes and the Existing Sprint Unsecured Notes, the Credit Agreement and other financing arrangements, impose, and the indentures governing the Exchange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restrictions limiting our and our subsidiaries’ ability to:</w:t>
      </w:r>
    </w:p>
    <w:p>
      <w:pPr>
        <w:spacing w:after="0" w:line="56"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redeem capital stock or make other restricted payments or investments (although we are able to make significant restricted payments under the Credit Agreement and the indentures governing the Existing T-Mobile Unsecured Notes);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buy assets, properties or licenses including by participating in future FCC auctions of spectrum or private sales of spectrum;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assets, properties or licenses that we have or in the future may procure;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payments.</w:t>
      </w:r>
    </w:p>
    <w:p>
      <w:pPr>
        <w:spacing w:after="0" w:line="117"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In addition, the indentures governing the Original Notes, the Existing T-Mobile Unsecured Notes and Existing Sprint Unsecured Notes and the Credit Agreement limit, and the indentures governing the Existing Notes will limit, our and our subsidiaries’ ability to:</w:t>
      </w:r>
    </w:p>
    <w:p>
      <w:pPr>
        <w:spacing w:after="0" w:line="76"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or other encumbrances in respect of indebtedness for borrowed money;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mergers, business combinations or other transactions.</w:t>
      </w:r>
    </w:p>
    <w:p>
      <w:pPr>
        <w:spacing w:after="0" w:line="117"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 addition, the Revolving Credit Facility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spacing w:after="0" w:line="68"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Any failure to comply with the restrictions of the indentures governing the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Holders of the Notes will not control decisions regarding the Collateral.</w:t>
      </w:r>
    </w:p>
    <w:p>
      <w:pPr>
        <w:spacing w:after="0" w:line="117" w:lineRule="exact"/>
        <w:rPr>
          <w:sz w:val="20"/>
          <w:szCs w:val="20"/>
          <w:color w:val="auto"/>
        </w:rPr>
      </w:pPr>
    </w:p>
    <w:p>
      <w:pPr>
        <w:ind w:left="300" w:right="339" w:firstLine="360"/>
        <w:spacing w:after="0" w:line="282" w:lineRule="auto"/>
        <w:rPr>
          <w:sz w:val="20"/>
          <w:szCs w:val="20"/>
          <w:color w:val="auto"/>
        </w:rPr>
      </w:pPr>
      <w:r>
        <w:rPr>
          <w:rFonts w:ascii="Arial" w:cs="Arial" w:eastAsia="Arial" w:hAnsi="Arial"/>
          <w:sz w:val="16"/>
          <w:szCs w:val="16"/>
          <w:color w:val="auto"/>
        </w:rPr>
        <w:t xml:space="preserve">The rights of the holders of the Notes with respect to the Collateral will be subject to a collateral trust and intercreditor agreement among all holders of obligations secured by the Collateral, including the obligations under the Notes and the Credit Agreement, up to $3.5 billion of lease payment obligations under the Existing Sprint Spectrum Lease, the obligations under the Designated L/C Facilities (as defined under “Description of Notes— Certain Definitions”) and any other permitted first priority secured obligations, as well as any future holders of permitted obligations secured by a junior lien on the Collateral (the “Intercreditor Agreement”). Pursuant to the terms of the Intercreditor Agreement, all matters related to the Collateral securing the Notes will be at the exclusive direction of the controlling party. The controlling party will be (a) at any time when any first priority secured obligations or commitments in respect thereof have not been paid in full, (i) the First Priority Agent (as defined under “Description of Notes—Certain Definitions”) or (ii) if (1) an acceleration notice has been delivered (and remains in effect) in respect of any Material First Priority Secured Obligations (as defined under “Description of Notes—Certain Definitions”) and (2) both (x) the first priority secured obligations in respect of which the First Priority Agent is the holder representative have not been accelerated (or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acceleration notice, the holder representative for the series of obligations constituting the then highest outstanding amount of Material First Priority Secured Obligations in respect of which an acceleration notice has been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an acceleration notice has been delivered (and remains in effect) in respect of any Material Junior Priority Secured Obligations (as defined under “Description of Notes—Certain Definitions”)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acceleration notice, the Junior Priority Agent (as defined under “Description of Notes—Certain Definitions”);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 The First Priority Agent will be (a)(i) initially, the administrative agent under the Credit Agreement and (ii) to the extent there are two or more syndicated credit agreements outstanding that are secured by the Collateral on a first-priority basis, the agent designated (if different and so designated) in writing by T-Mobile and representing the highest outstanding amount of such syndicated credit agreements secured by the Collateral on a first-priority basis; and (b) at any time when the aggregate outstanding amount and unfunded commitments under the syndicated credit agreements referenced in clause (a)(ii) above is less than $1.0 billion, (x) the agent or trustee designated as “First Priority Agent” by the Majority First Priority Secured Parties (as defined under “Description of Notes—Certain Definitions”) (or their holder representatives) or (y) in the event the Majority First Priority Secured Parties have not designated a First Priority Agent, then the representative for the series of obligations constituting the then highest outstanding amount of first priority secured obligations (see “Description of Notes—The Collateral Trust and Intercreditor Agreement”). The controlling party may, in connection with an enforcement action, dispose of, release, or foreclose on, or take other actions with respect to, the Collateral (including amendments of and waivers under the security documents) with which holders of the Notes may disagree or that may be contrary to the interests of holders of the Notes, even after a default under the Notes. To the extent Collateral is released from the lien securing the obligations under the Credit Agreement (or any other obligations, the representative of which is the controlling party) in connection with foreclosure or enforcement action, even if a default under the Notes exists, liens on the same Collateral securing the Notes will also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301" w:lineRule="auto"/>
        <w:rPr>
          <w:sz w:val="20"/>
          <w:szCs w:val="20"/>
          <w:color w:val="auto"/>
        </w:rPr>
      </w:pPr>
      <w:r>
        <w:rPr>
          <w:rFonts w:ascii="Arial" w:cs="Arial" w:eastAsia="Arial" w:hAnsi="Arial"/>
          <w:sz w:val="16"/>
          <w:szCs w:val="16"/>
          <w:color w:val="auto"/>
        </w:rPr>
        <w:t>released. In addition, the Intercreditor Agreement generally provides that the Collateral Trustee may change, waive, modify or vary the security documents governing such liens without the consent of the holders of the Notes (except under certain limited circumstances) and that the security documents governing the liens securing the Notes will be automatically changed, waived and modified in the same manner (subject to certain limitations and exceptions).</w:t>
      </w:r>
    </w:p>
    <w:p>
      <w:pPr>
        <w:spacing w:after="0" w:line="157"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b w:val="1"/>
          <w:bCs w:val="1"/>
          <w:i w:val="1"/>
          <w:iCs w:val="1"/>
          <w:color w:val="auto"/>
        </w:rPr>
        <w:t>The value of the Collateral securing the Notes and the related guarantees may not be sufficient to satisfy our and the guarantors’ obligations under the Notes.</w:t>
      </w:r>
    </w:p>
    <w:p>
      <w:pPr>
        <w:spacing w:after="0" w:line="62"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 xml:space="preserve">The Notes will be secured by a first priority lien, subject to certain exceptions and permitted liens, on the Collateral described in this prospectus. The Collateral also secures obligations under any other existing and future permitted first priority secured obligations. The amount of future indebtedness permitted to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on the Collateral is substantial. Your rights to the Collateral would be diluted by any additional indebtedness or other obligations that are secured by the Collateral.</w:t>
      </w:r>
    </w:p>
    <w:p>
      <w:pPr>
        <w:spacing w:after="0" w:line="80" w:lineRule="exact"/>
        <w:rPr>
          <w:sz w:val="20"/>
          <w:szCs w:val="20"/>
          <w:color w:val="auto"/>
        </w:rPr>
      </w:pPr>
    </w:p>
    <w:p>
      <w:pPr>
        <w:ind w:left="300" w:right="479" w:firstLine="360"/>
        <w:spacing w:after="0" w:line="293" w:lineRule="auto"/>
        <w:rPr>
          <w:sz w:val="20"/>
          <w:szCs w:val="20"/>
          <w:color w:val="auto"/>
        </w:rPr>
      </w:pPr>
      <w:r>
        <w:rPr>
          <w:rFonts w:ascii="Arial" w:cs="Arial" w:eastAsia="Arial" w:hAnsi="Arial"/>
          <w:sz w:val="16"/>
          <w:szCs w:val="16"/>
          <w:color w:val="auto"/>
        </w:rPr>
        <w:t>The Existing Sprint Spectrum Note Entities own a separate pool of 2.5 GHz and 1.9 GHz spectrum which has been pledged to secure indebtedness under the Sprint Spectrum Note Facility. This spectrum will not secure the Notes or any other permitted first priority secured obligations. Spectrum lease payments from a Sprint subsidiary, Sprint Communications, Inc., are used to service the indebtedness under the Existing Sprint Spectrum-Backed Notes. This lease payment obligation is secured by a first priority security interest in the Collateral (with such security capped at $3.5 billion), shared with the Notes and other permitted first priority secured obligations.</w:t>
      </w:r>
    </w:p>
    <w:p>
      <w:pPr>
        <w:spacing w:after="0" w:line="56"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No appraisal of the value of the Collateral that will secure the Notes has been made in connection with this exchange offer. The value of the Collateral at any time will depend on market and other economic conditions, including the availability of suitable buyers. By their nature, some or all of the pledged assets may be illiquid and may have no readily ascertainable market value. We cannot assure you that the fair market value of the Collateral as of the date of this prospectus equals or exceeds the principal amount of the debt secured thereby. The value of the assets pledged as Collateral for the Notes could be impaired in the future as a result of changing economic conditions, our failure to implement our business strategy, competition, unforeseen liabilities and other future events. Accordingly, liquidating the Collateral may not result in proceeds in an amount sufficient to pay all or any of the amounts due on the Notes, the obligations under the Credit Agreement and any other permitted first priority secured obligations that we may incur. If the proceeds of any sale of Collateral are not sufficient to pay all amounts due on the Notes and all such other permitted first priority secured obligations, the holders of the Notes would have an unsecured claim against our and the Subsidiary Guarantor’s remaining assets.</w:t>
      </w:r>
    </w:p>
    <w:p>
      <w:pPr>
        <w:spacing w:after="0" w:line="6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security interest in the Collateral will be subject to practical problems generally associated with the realization of security interests in collateral. For example, the Collateral Trustee may need to obtain the consent of a third party to obtain or enforce a security interest in a contract. We cannot assure you that the consents of any third parties will be given when required to facilitate a foreclosure on any assets. See in particular “—It may be difficult to realize the value of the FCC license rights pledged to secure the Notes” below. Accordingly, the Collateral Trustee may not be able to foreclose upon such assets, effectively eliminating the security provided by the applicable Collateral.</w:t>
      </w:r>
    </w:p>
    <w:p>
      <w:pPr>
        <w:spacing w:after="0" w:line="195"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Rights of the holders of the Notes in the Collateral may be adversely affected by the failure to perfect liens on certain Collateral acquired in the future.</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Applicable law provides that security interests in certain property and rights acquired after the grant of a general security interest can only be perfected through certain actions undertaken by the secured party once such property and rights are acquired and identified. The Trustee (as defined under “Description of Notes—Certain Definitions”) or the Collateral Trustee may not monitor, or we may not inform the Trustee or the Collateral Trustee of, the future acquisitions of property and rights that constitute Collateral, and the liens on such Collateral may not be perfected if the Collateral Trustee does not or is not able to take the actions necessary to perfect the liens. Neither the Trustee nor the Collateral Trustee has any obligation to monitor the acquisition of additional property or rights that constitute Collateral or the perfection of any security interest in favor of the Collateral Trustee against third parties. Such failure may result in the loss of the security interest in the applicable Collateral or loss of priority of the security interest in favor of the Collateral Trustee, as applicable, against third parties. Further, even if liens on Collateral acquired in the future are properly perfected, such liens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may potentially be avoidable as a preference in any bankruptcy proceeding under certain circumstances. See “—Any future pledge of Collateral or guarantee provided after the Notes are issued might be avoided in a bankruptcy.”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material assets are excluded from the Collateral securing the Notes.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Certain material assets are excluded from the Collateral, as described under “Description of Notes—Collateral —Excluded Assets.” Excluded Assets will include assets transferred to or held by a Permitted Tower Financing Subsidiary (as defined herein), Permitted Receivables Financing Assets and any assets of Sprint or any subsidiary of Sprint,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 Permitted Receivables Financing Assets include financial assets that are or may be used from time to time for other financings. As of December 31, 2020, we had approximately $9.9 billion in Permitted Receivables Financing Assets. In addition, the Existing Sprint Spectrum Note Entities own a separate pool of 2.5 GHz and 1.9 GHz spectrum, which we refer to as the Sprint Spectrum Portfolio and which has been pledged to secure indebtedness under the Sprint Spectrum Note Facility. This spectrum will not secure the Notes or any other permitted first priority secured obligations. Further, no assets of any of our non-guarantor subsidiaries will constitute Collateral.</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It may be difficult to realize the value of the FCC license rights pledged to secure the Exchange Notes.</w:t>
      </w:r>
    </w:p>
    <w:p>
      <w:pPr>
        <w:spacing w:after="0" w:line="129"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Telecommunication license rights constitute a significant part of the Collateral that currently secures the Original Notes and will initially secure the Exchange Notes and in each case the related Guarantees. The ability of the Collateral Trustee to foreclose on such Collateral on behalf of the holders of the Notes may be subject to prior approval by the FCC and other governmental authorities. In particular, the Collateral Trustee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the sale process, either of which events may have a material adverse effect on the sale price of the FCC license rights. Further, certain of the FCC license rights are already collateralized under the Sprint Spectrum Note Facility, and the ability to realize the value of the FCC license rights will be subordinated to such collateral claims. Therefore, the practical value of realizing on the FCC license rights may be limited.</w:t>
      </w:r>
    </w:p>
    <w:p>
      <w:pPr>
        <w:spacing w:after="0" w:line="174" w:lineRule="exact"/>
        <w:rPr>
          <w:sz w:val="20"/>
          <w:szCs w:val="20"/>
          <w:color w:val="auto"/>
        </w:rPr>
      </w:pPr>
    </w:p>
    <w:p>
      <w:pPr>
        <w:ind w:left="300" w:right="399"/>
        <w:spacing w:after="0" w:line="327" w:lineRule="auto"/>
        <w:rPr>
          <w:sz w:val="20"/>
          <w:szCs w:val="20"/>
          <w:color w:val="auto"/>
        </w:rPr>
      </w:pPr>
      <w:r>
        <w:rPr>
          <w:rFonts w:ascii="Arial" w:cs="Arial" w:eastAsia="Arial" w:hAnsi="Arial"/>
          <w:sz w:val="15"/>
          <w:szCs w:val="15"/>
          <w:b w:val="1"/>
          <w:bCs w:val="1"/>
          <w:i w:val="1"/>
          <w:iCs w:val="1"/>
          <w:color w:val="auto"/>
        </w:rPr>
        <w:t>Foreclosure upon the Spectrum SPV Equity Interests (as defined in the indenture governing the Notes) included in the Collateral would result in an event of default under the indenture governing the Sprint Spectrum Note Facility, and the claims of holders of the Existing Sprint Spectrum-Backed Notes against the Existing Sprint Spectrum Securitization Obligors would be structurally senior to the claims of holders of the Notes.</w:t>
      </w:r>
    </w:p>
    <w:p>
      <w:pPr>
        <w:spacing w:after="0" w:line="3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Collateral securing the obligations under the Exchange Notes includes the Spectrum SPV Equity Interests, which are equity interests in certain intermediate holding companies employed in the Sprint Spectrum Note Facility. The change in ownership resulting from a foreclosure upon these pledged equity interests would constitute an event of default under the indenture governing the Sprint Spectrum Note Facility. Such an event of default would permit the immediate acceleration of obligations under the Existing Sprint Spectrum-Backed Notes. The holders of the Existing Sprint Spectrum-Backed Notes would have debt claims against the obligors under the Existing Sprint Spectrum Note Facility (the “Existing Sprint Spectrum Securitization Obligors”) that would be structurally senior to the residual equity claims of holders of the Notes. Consequently, the holders of Existing Sprint Spectrum-Backed Notes would be entitled to be paid in full from the assets of the Existing Sprint Spectrum Securitization Obligors before any payment may be made to the holders of the Notes on account of a foreclosure upon the Spectrum SPV Equity Interests.</w:t>
      </w:r>
    </w:p>
    <w:p>
      <w:pPr>
        <w:spacing w:after="0" w:line="182"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We will in most cases have control over the Collateral, and the sale of particular assets by us could reduce the pool of assets securing the Notes and the Guarantees.</w:t>
      </w:r>
    </w:p>
    <w:p>
      <w:pPr>
        <w:spacing w:after="0" w:line="62"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The security documents allow us to remain in possession of, retain exclusive control over, freely operate, and collect, invest and dispose of any income from, the Collateral. For example, so long as no default or event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69" w:lineRule="auto"/>
        <w:rPr>
          <w:sz w:val="20"/>
          <w:szCs w:val="20"/>
          <w:color w:val="auto"/>
        </w:rPr>
      </w:pPr>
      <w:r>
        <w:rPr>
          <w:rFonts w:ascii="Arial" w:cs="Arial" w:eastAsia="Arial" w:hAnsi="Arial"/>
          <w:sz w:val="17"/>
          <w:szCs w:val="17"/>
          <w:color w:val="auto"/>
        </w:rPr>
        <w:t>of default under the indentures governing the Notes, the Credit Agreement or the Existing Sprint Spectrum Lease would result therefrom, we may, among other things, without any release or consent by the Trustee or the Collateral Trustee, conduct ordinary course activities with respect to Collateral, such as selling, factoring, abandoning or otherwise disposing of Collateral and making ordinary course cash payments (including repayments of indebtedness). To the extent we sell any assets that constitute such Collateral, the proceeds of such sale will be subject to the liens securing the Notes only to the extent such proceeds constitute Collateral under the security documents. Such proceeds will also be subject to any security interests of creditors other than the holders of the Notes, including the other holders of obligations secured by the Collateral on a first-priority basis. To the extent the proceeds of any sale of Collateral do not constitute Collateral under the security documents, the pool of assets securing the Notes will be reduced.</w:t>
      </w:r>
    </w:p>
    <w:p>
      <w:pPr>
        <w:spacing w:after="0" w:line="77" w:lineRule="exact"/>
        <w:rPr>
          <w:sz w:val="20"/>
          <w:szCs w:val="20"/>
          <w:color w:val="auto"/>
        </w:rPr>
      </w:pPr>
    </w:p>
    <w:p>
      <w:pPr>
        <w:jc w:val="both"/>
        <w:ind w:left="300" w:right="579" w:firstLine="360"/>
        <w:spacing w:after="0" w:line="263" w:lineRule="auto"/>
        <w:rPr>
          <w:sz w:val="20"/>
          <w:szCs w:val="20"/>
          <w:color w:val="auto"/>
        </w:rPr>
      </w:pPr>
      <w:r>
        <w:rPr>
          <w:rFonts w:ascii="Arial" w:cs="Arial" w:eastAsia="Arial" w:hAnsi="Arial"/>
          <w:sz w:val="18"/>
          <w:szCs w:val="18"/>
          <w:color w:val="auto"/>
        </w:rPr>
        <w:t>There are circumstances other than repayment or discharge of the Notes under which Collateral securing the Notes will be released automatically, without your consent or the consent of the Trustee or the Collateral Trustee, including:</w:t>
      </w:r>
    </w:p>
    <w:p>
      <w:pPr>
        <w:spacing w:after="0" w:line="76" w:lineRule="exact"/>
        <w:rPr>
          <w:sz w:val="20"/>
          <w:szCs w:val="20"/>
          <w:color w:val="auto"/>
        </w:rPr>
      </w:pPr>
    </w:p>
    <w:p>
      <w:pPr>
        <w:ind w:left="1000" w:right="6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sale, transfer or other disposal of such Collateral in a transaction not prohibited under the indentures governing the Notes;</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Collateral held by a guarantor, upon the release of such guarantor from its Guarantee in a transaction not prohibited by the indentures governing the Notes;</w:t>
      </w:r>
    </w:p>
    <w:p>
      <w:pPr>
        <w:spacing w:after="0" w:line="62" w:lineRule="exact"/>
        <w:rPr>
          <w:rFonts w:ascii="Arial" w:cs="Arial" w:eastAsia="Arial" w:hAnsi="Arial"/>
          <w:sz w:val="18"/>
          <w:szCs w:val="18"/>
          <w:color w:val="auto"/>
        </w:rPr>
      </w:pPr>
    </w:p>
    <w:p>
      <w:pPr>
        <w:ind w:left="1000" w:right="439" w:hanging="348"/>
        <w:spacing w:after="0" w:line="30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w:t>
      </w:r>
    </w:p>
    <w:p>
      <w:pPr>
        <w:spacing w:after="0" w:line="49" w:lineRule="exact"/>
        <w:rPr>
          <w:rFonts w:ascii="Arial" w:cs="Arial" w:eastAsia="Arial" w:hAnsi="Arial"/>
          <w:sz w:val="16"/>
          <w:szCs w:val="16"/>
          <w:color w:val="auto"/>
        </w:rPr>
      </w:pPr>
    </w:p>
    <w:p>
      <w:pPr>
        <w:ind w:left="1000" w:right="659" w:hanging="348"/>
        <w:spacing w:after="0" w:line="28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whole, upon an Investment Grade Event Election (as defined under “Description of Notes—Certain Definitions”). See “Description of Notes—Collateral—Release.</w:t>
      </w:r>
      <w:r>
        <w:rPr>
          <w:rFonts w:ascii="Arial" w:cs="Arial" w:eastAsia="Arial" w:hAnsi="Arial"/>
          <w:sz w:val="29"/>
          <w:szCs w:val="29"/>
          <w:color w:val="auto"/>
          <w:vertAlign w:val="superscript"/>
        </w:rPr>
        <w:t>”</w:t>
      </w:r>
    </w:p>
    <w:p>
      <w:pPr>
        <w:spacing w:after="0" w:line="17" w:lineRule="exact"/>
        <w:rPr>
          <w:sz w:val="20"/>
          <w:szCs w:val="20"/>
          <w:color w:val="auto"/>
        </w:rPr>
      </w:pPr>
    </w:p>
    <w:p>
      <w:pPr>
        <w:ind w:left="300" w:right="659"/>
        <w:spacing w:after="0" w:line="340" w:lineRule="auto"/>
        <w:rPr>
          <w:sz w:val="20"/>
          <w:szCs w:val="20"/>
          <w:color w:val="auto"/>
        </w:rPr>
      </w:pPr>
      <w:r>
        <w:rPr>
          <w:rFonts w:ascii="Arial" w:cs="Arial" w:eastAsia="Arial" w:hAnsi="Arial"/>
          <w:sz w:val="15"/>
          <w:szCs w:val="15"/>
          <w:b w:val="1"/>
          <w:bCs w:val="1"/>
          <w:i w:val="1"/>
          <w:iCs w:val="1"/>
          <w:color w:val="auto"/>
        </w:rPr>
        <w:t>Security interests over certain Collateral may not have been in place or may not have been perfected by the completion of the exchange offer. Creation or perfection of such security interests after the completion of the exchange offer increases the risk that the liens granted by those security interests could be avoided.</w:t>
      </w:r>
    </w:p>
    <w:p>
      <w:pPr>
        <w:spacing w:after="0" w:line="23"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Applicable law provides that a security interest in certain tangible and intangible assets can only be properly perfected and its priority retained through certain actions undertaken by the secured party. To the extent a security interest in certain Collateral is granted or perfected after the date which is 30 days following the completion of an offering, that security interest would remain at risk of being avoided as a preferential transfer by the pledgor, as debtor in possession, or by its trustee in bankruptcy, if we or any guarantor were to file for bankruptcy within 90 days after the grant or after perfection (or, under certain circumstances, a longer period). See “—Any future pledge of Collateral or guarantee provided after the Notes are issued might be avoided in a bankruptcy.” In addition, the security documents in connection with the Notes do not require us to take a number of actions related to the perfection or priority of the liens on certain Collateral in favor of the Collateral Trustee for the benefit of the holders of the Notes. As a result of these limitations, the security interest in favor of the Collateral Trustee for the benefit of the holders of the Notes may not be perfected or enforceable (or may be subject to other liens) under applicable law with respect to a portion of the Collateral.</w:t>
      </w:r>
    </w:p>
    <w:p>
      <w:pPr>
        <w:spacing w:after="0" w:line="179"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b w:val="1"/>
          <w:bCs w:val="1"/>
          <w:i w:val="1"/>
          <w:iCs w:val="1"/>
          <w:color w:val="auto"/>
        </w:rPr>
        <w:t>The imposition of certain permitted liens could materially adversely affect the value of the Collateral that could be realized by holders of the Notes.</w:t>
      </w:r>
    </w:p>
    <w:p>
      <w:pPr>
        <w:spacing w:after="0" w:line="62"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The Collateral securing the Notes may be subject to other liens permitted under the indentures governing the Notes, whether arising prior to, on or after the date the Notes are issued. The existence of any permitted liens could materially adversely affect the value of the Collateral that could be realized by the holders of the Notes as well as the ability of the Collateral Trustee to realize or foreclose on such Collateral. In addition, the imposition of certain permitted liens would cause the relevant assets to become “Excluded Assets,” which will not secure the Notes or the Guarantees. See “Description of Notes—Collateral—Excluded Assets.”</w:t>
      </w:r>
    </w:p>
    <w:p>
      <w:pPr>
        <w:spacing w:after="0" w:line="70"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The Existing Sprint Spectrum Note Entities own a separate pool of 2.5 GHz and 1.9 GHz spectrum which has been pledged to secure indebtedness under the Sprint Spectrum Note Facility. The Sprint Spectrum Portfolio will not secure the Notes or any other permitted first priority secured obligations. Spectrum lease payments from</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a Sprint subsidiary, Sprint Communications, Inc., are used to service the indebtedness under the Existing Sprint Spectrum-Backed Notes. This lease payment obligation will be secured by a first priority security interest in the Collateral (with such security capped at $3.5 billion), shared with the Notes and other permitted first priority secured obligations.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Guarantees may be released upon the occurrence of certain events.</w:t>
      </w:r>
    </w:p>
    <w:p>
      <w:pPr>
        <w:spacing w:after="0" w:line="11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A guarantor will be automatically and unconditionally released from its obligations in respect of the Notes of any series:</w:t>
      </w:r>
    </w:p>
    <w:p>
      <w:pPr>
        <w:spacing w:after="0" w:line="62" w:lineRule="exact"/>
        <w:rPr>
          <w:sz w:val="20"/>
          <w:szCs w:val="20"/>
          <w:color w:val="auto"/>
        </w:rPr>
      </w:pPr>
    </w:p>
    <w:p>
      <w:pPr>
        <w:ind w:left="1000" w:right="339" w:hanging="348"/>
        <w:spacing w:after="0" w:line="31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case of a Subsidiary Guarantor, at such time as such Subsidiary Guarantor (i) is not, (ii) is released or relieved as, or (iii) ceases (or substantially concurrently will cease) to be, a borrower or guarantor under the Credit Agreement, except by or as a result of payment under such guarantee or direct obligation;</w:t>
      </w:r>
    </w:p>
    <w:p>
      <w:pPr>
        <w:spacing w:after="0" w:line="40"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p>
      <w:pPr>
        <w:spacing w:after="0" w:line="78" w:lineRule="exact"/>
        <w:rPr>
          <w:rFonts w:ascii="Arial" w:cs="Arial" w:eastAsia="Arial" w:hAnsi="Arial"/>
          <w:sz w:val="18"/>
          <w:szCs w:val="18"/>
          <w:color w:val="auto"/>
        </w:rPr>
      </w:pPr>
    </w:p>
    <w:p>
      <w:pPr>
        <w:ind w:left="1000" w:right="479" w:hanging="348"/>
        <w:spacing w:after="0" w:line="29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 the case of a Subsidiary Guarantor, if for any reason the Subsidiary Guarantor ceases to be a wholly-owned subsidiary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Guarantor that ceases to constitute a Subsidiary Guarantor or becomes an Excluded Subsidiary solely by virtue of no longer being a wholly-owned subsidiary (a “Partially Disposed Subsidiary”) shall only be released from its Note Guarantee (as defined under “Description of Notes—Certain Definitions”)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58"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indentures governing the Notes as provided under “Description of Notes—Legal Defeasance and Covenant Defeasance” and “Description of Notes—Satisfaction and Discharge”;</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under the indentures governing the Notes has occurred that is continuing;</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spacing w:after="0" w:line="18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The Guarantees (or the related security interests) may be avoidable and therefore not be enforceable because of fraudulent conveyance or fraudulent transfer laws.</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Guarantees (and the related security interests)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or granted the related security interest, such guarantor:</w:t>
      </w:r>
    </w:p>
    <w:p>
      <w:pPr>
        <w:spacing w:after="0" w:line="80" w:lineRule="exact"/>
        <w:rPr>
          <w:sz w:val="20"/>
          <w:szCs w:val="20"/>
          <w:color w:val="auto"/>
        </w:rPr>
      </w:pPr>
    </w:p>
    <w:p>
      <w:pPr>
        <w:ind w:left="1000" w:right="5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incurred this debt (and the related security interest) with the intent of hindering, delaying or defrauding current or future creditors; or</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incurring this debt and the related security interest, and the guarantor:</w:t>
      </w:r>
    </w:p>
    <w:p>
      <w:pPr>
        <w:spacing w:after="0" w:line="62" w:lineRule="exact"/>
        <w:rPr>
          <w:rFonts w:ascii="Arial" w:cs="Arial" w:eastAsia="Arial" w:hAnsi="Arial"/>
          <w:sz w:val="18"/>
          <w:szCs w:val="18"/>
          <w:color w:val="auto"/>
        </w:rPr>
      </w:pPr>
    </w:p>
    <w:p>
      <w:pPr>
        <w:ind w:left="1360" w:right="359" w:hanging="348"/>
        <w:spacing w:after="0" w:line="277"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was insolvent or was rendered insolvent by reason of the related financing transactions (including the issuance of the Guarantees and the related security interests);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899" w:hanging="348"/>
        <w:spacing w:after="0" w:line="263"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 engaged in, or about to engage in, a business or transaction for which its remaining assets constituted unreasonably small capital to carry on its business as currently engaged in or contemplated; or</w:t>
      </w:r>
    </w:p>
    <w:p>
      <w:pPr>
        <w:spacing w:after="0" w:line="75" w:lineRule="exact"/>
        <w:rPr>
          <w:rFonts w:ascii="Arial" w:cs="Arial" w:eastAsia="Arial" w:hAnsi="Arial"/>
          <w:sz w:val="18"/>
          <w:szCs w:val="18"/>
          <w:color w:val="auto"/>
        </w:rPr>
      </w:pPr>
    </w:p>
    <w:p>
      <w:pPr>
        <w:ind w:left="1360" w:right="539" w:hanging="348"/>
        <w:spacing w:after="0" w:line="263"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these debts as they mature, as all of the foregoing terms are defined in or interpreted under the relevant fraudulent transfer or conveyance statutes;</w:t>
      </w:r>
    </w:p>
    <w:p>
      <w:pPr>
        <w:spacing w:after="0" w:line="76"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then the court could avoid the Guarantee (and the related security interest)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spacing w:after="0" w:line="49"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and the related security interests)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 (and the related security interest):</w:t>
      </w:r>
    </w:p>
    <w:p>
      <w:pPr>
        <w:spacing w:after="0" w:line="58"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its assets, at a fair valuation; or</w:t>
      </w:r>
    </w:p>
    <w:p>
      <w:pPr>
        <w:spacing w:after="0" w:line="128" w:lineRule="exact"/>
        <w:rPr>
          <w:rFonts w:ascii="Arial" w:cs="Arial" w:eastAsia="Arial" w:hAnsi="Arial"/>
          <w:sz w:val="17"/>
          <w:szCs w:val="17"/>
          <w:color w:val="auto"/>
        </w:rPr>
      </w:pPr>
    </w:p>
    <w:p>
      <w:pPr>
        <w:jc w:val="both"/>
        <w:ind w:left="1000" w:right="39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the amount required to pay the probable liability on its total existing debts and liabilities, including contingent liabilities, as they become absolute and mature.</w:t>
      </w:r>
    </w:p>
    <w:p>
      <w:pPr>
        <w:spacing w:after="0" w:line="16"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value”(or fair consideration for) its Guarantee (or the related security interest)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 by the incurrence of the Guarantee or one of the other conditions above (relating to the guarantor’s financial condition) were satisfied, the court could avoid the obligations under the Guarantees (and the related security interests), subordinate them to the applicable guarantor’s other debt or take other action detrimental to the holders of the Notes.</w:t>
      </w:r>
    </w:p>
    <w:p>
      <w:pPr>
        <w:spacing w:after="0" w:line="64" w:lineRule="exact"/>
        <w:rPr>
          <w:sz w:val="20"/>
          <w:szCs w:val="20"/>
          <w:color w:val="auto"/>
        </w:rPr>
      </w:pPr>
    </w:p>
    <w:p>
      <w:pPr>
        <w:ind w:left="300" w:right="439" w:firstLine="360"/>
        <w:spacing w:after="0" w:line="291" w:lineRule="auto"/>
        <w:rPr>
          <w:sz w:val="20"/>
          <w:szCs w:val="20"/>
          <w:color w:val="auto"/>
        </w:rPr>
      </w:pPr>
      <w:r>
        <w:rPr>
          <w:rFonts w:ascii="Arial" w:cs="Arial" w:eastAsia="Arial" w:hAnsi="Arial"/>
          <w:sz w:val="16"/>
          <w:szCs w:val="16"/>
          <w:color w:val="auto"/>
        </w:rPr>
        <w:t>If a Guarantee (and the related security interest) is avoided as a fraudulent conveyance, fraudulent transfer, or preference, or found to be unenforceable for any other reason, you will not have a claim against that obligor (or the benefit of the related security interest) and will only be our creditor or that of any guarantor whose obligation was not set aside or found to be unenforceable. In addition, the loss of a Guarantee generally will constitute an event of default under the indentures governing the Notes and the Existing T-Mobile Unsecured Notes and the Credit Agreement, which events of default would allow the relevant noteholders or lenders to accelerate the amounts due and payable thereunder, and we may not be able to pay any such amounts.</w:t>
      </w:r>
    </w:p>
    <w:p>
      <w:pPr>
        <w:spacing w:after="0" w:line="58"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spacing w:after="0" w:line="311" w:lineRule="exact"/>
        <w:rPr>
          <w:sz w:val="20"/>
          <w:szCs w:val="20"/>
          <w:color w:val="auto"/>
        </w:rPr>
      </w:pPr>
    </w:p>
    <w:p>
      <w:pPr>
        <w:ind w:left="300" w:right="1179"/>
        <w:spacing w:after="0" w:line="277" w:lineRule="auto"/>
        <w:rPr>
          <w:sz w:val="20"/>
          <w:szCs w:val="20"/>
          <w:color w:val="auto"/>
        </w:rPr>
      </w:pPr>
      <w:r>
        <w:rPr>
          <w:rFonts w:ascii="Arial" w:cs="Arial" w:eastAsia="Arial" w:hAnsi="Arial"/>
          <w:sz w:val="18"/>
          <w:szCs w:val="18"/>
          <w:b w:val="1"/>
          <w:bCs w:val="1"/>
          <w:i w:val="1"/>
          <w:iCs w:val="1"/>
          <w:color w:val="auto"/>
        </w:rPr>
        <w:t>Any future pledge of Collateral or guarantee provided after the Notes are issued might be avoided in a bankruptcy.</w:t>
      </w:r>
    </w:p>
    <w:p>
      <w:pPr>
        <w:spacing w:after="0" w:line="62"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indentures governing the Notes and the related security documents will require us to grant liens on certain assets that we or any guarantor acquire. Any future guarantee or additional lien in favor of the Collateral Trustee for the benefit of the holders of the Notes might be avoidable by the grantor (as debtor-in possession) or by its trustee in bankruptcy or other third parties (including potentially our other creditors)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deemed an “insider” under the U.S. Bankruptcy Code), and the granting of the future guarantee or additional lien enabled the holders of the Notes to receive more than they would if the grantor were liquidated under a hypothetical case under chapter 7 of the U.S. Bankruptcy Code, then such guarantee or lien could be avoided as a preferential transfer. Liens recorded or perfected after the completion of the exchange offer may be treated under bankruptcy law as if they were delivered to secure previously existing indebtedness. Accordingly, if we or any guarantor were to become subject to a bankruptcy proceeding, any mortgage or security interest in other Collateral delivered after the completion of the exchange offer would face a greater risk than security interests in place as of the completion of the exchange offer of being avoided as a preference under bankruptcy law. To the extent that the grant of any such mortgage or other security interest or guarantee is avoided as a preference, the holders of the Notes would lose the benefit of the security that the Collateral was intended to provide or the benefit of such guarantee (as applicable).</w:t>
      </w:r>
    </w:p>
    <w:p>
      <w:pPr>
        <w:spacing w:after="0" w:line="295"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b w:val="1"/>
          <w:bCs w:val="1"/>
          <w:i w:val="1"/>
          <w:iCs w:val="1"/>
          <w:color w:val="auto"/>
        </w:rPr>
        <w:t>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76"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 xml:space="preserve">The right of the Collateral Trustee to foreclose upon, repossess and dispose of the Collateral upon acceleration is likely to be significantly impaired (or at a minimum delayed) by federal bankruptcy law if bankruptcy proceedings are commenced by or against us before or possibly even after the Collateral Trustee has repossessed and disposed of Collateral. Under the U.S. Bankruptcy Code, pursuant to the automatic stay imposed upon a bankruptcy filing, a secured creditor, such as the Collateral Trustee, is prohibited from foreclosing upon or repossessing its security from a debtor in a bankruptcy case, or from disposing of security repossessed from a debtor, without prior bankruptcy court approval (which may not be given under the circumstances). Moreover, bankruptcy law permits the debtor to continue to retain and to use collateral, and the proceeds, products, rents or profits of the collateral, even though the debtor is in default under the applicable debt instruments,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all of the debt it secures. In view of the lack of a precise definition of the term “adequate protection” and the broad discretionary powers of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bankruptcy court, it is impossible to predict whether any payments under the Notes could be made following commencement of or during a bankruptcy case or the length of any potential delay in making any such payments post-petition, whether or when the Collateral Trustee could foreclose upon, repossess or dispose of the Collateral, or whether or to what extent the holders of the Notes would be compensated for any delay in payment or loss of value of the Collateral through the requirements of “adequate protection.”</w:t>
      </w:r>
    </w:p>
    <w:p>
      <w:pPr>
        <w:spacing w:after="0" w:line="68"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 xml:space="preserve">Furthermore, in the event the bankruptcy court determines that the value of the Collateral is not sufficient to repay all amounts due on the Notes (and all other obligations secured thereby on a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holders of the Notes would have “undersecured claims” as to the difference. Federal bankruptcy laws do not permit the payment or accrual of post-petition interest, costs, fees, expenses and attorneys’ fees for “undersecured claims” during the debtor’s bankruptcy case. Other consequences of a finding of under-collateralization would include, among other things, a lack of entitlement to receive “adequate protection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under federal bankruptcy laws with respect to the unsecured portion of the Notes. In addition, if any payments of post-petition interest had been made at the time of such a finding of under collateralization, those payments could be recharacterized by the bankruptcy court as a reduction of the principal amount of the Notes.</w:t>
      </w:r>
    </w:p>
    <w:p>
      <w:pPr>
        <w:spacing w:after="0" w:line="8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Intercreditor Agreement also contains provisions restricting the holders of the Notes from filing certain objections in any future bankruptcy to, among other things, a proposed debtor-in-possession financing that satisfies various terms and conditions.</w:t>
      </w:r>
    </w:p>
    <w:p>
      <w:pPr>
        <w:spacing w:after="0" w:line="76"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As a result of the foregoing, bankruptcy laws may, among other things, act to limit the ability of the holders of the Notes to realize upon the Collateral and to receive post-bankruptcy interest, fees, expenses or “adequate protection” with respect to the Notes.</w:t>
      </w:r>
    </w:p>
    <w:p>
      <w:pPr>
        <w:spacing w:after="0" w:line="332" w:lineRule="exact"/>
        <w:rPr>
          <w:sz w:val="20"/>
          <w:szCs w:val="20"/>
          <w:color w:val="auto"/>
        </w:rPr>
      </w:pPr>
    </w:p>
    <w:p>
      <w:pPr>
        <w:ind w:left="300" w:right="579"/>
        <w:spacing w:after="0" w:line="257" w:lineRule="auto"/>
        <w:rPr>
          <w:sz w:val="20"/>
          <w:szCs w:val="20"/>
          <w:color w:val="auto"/>
        </w:rPr>
      </w:pPr>
      <w:r>
        <w:rPr>
          <w:rFonts w:ascii="Arial" w:cs="Arial" w:eastAsia="Arial" w:hAnsi="Arial"/>
          <w:sz w:val="18"/>
          <w:szCs w:val="18"/>
          <w:b w:val="1"/>
          <w:bCs w:val="1"/>
          <w:i w:val="1"/>
          <w:iCs w:val="1"/>
          <w:color w:val="auto"/>
        </w:rPr>
        <w:t>The lenders under the Credit Agreement have the discretion to release any guarantors under the Credit Agreement in a variety of circumstances, which could cause those guarantors to be released from their guarantees of each series of the Notes, in which case any liens on the assets of such guarantors in favor of the Collateral Trustee for the benefit of lenders under the Credit Agreement and holders of the Notes will also be released.</w:t>
      </w:r>
    </w:p>
    <w:p>
      <w:pPr>
        <w:spacing w:after="0" w:line="8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in which case any liens on the assets of such subsidiary in favor of the Collateral Trustee for the benefit of lenders under the Credit Agreement and the holders of the Notes will also be released. See “Description of Notes—Brief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spacing w:after="0" w:line="330"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b w:val="1"/>
          <w:bCs w:val="1"/>
          <w:i w:val="1"/>
          <w:iCs w:val="1"/>
          <w:color w:val="auto"/>
        </w:rPr>
        <w:t>If we or existing investors sell our debt securities after this exchange offer, the market price of the Notes could decline.</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market price of the Notes could decline as a result of our, or existing investors’, sales of the Issuer’s debt securities in the market after this exchange offer, or the perception that such sales could occur. These sales, or the possibility that these sales may occur, also might make it more difficult for the Issuer to sell other debt securities in the future at a time and on terms that it deems appropriate.</w:t>
      </w:r>
    </w:p>
    <w:p>
      <w:pPr>
        <w:spacing w:after="0" w:line="79"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After giving effect to the Q1 Notes Issuances and the Q1 Redemption, as of December 31, 2020, we would have had outstanding approximately $73.9 billion in aggregate principal amount of debt securities, maturing in 2021 through 2060, $36.3 billion of which would be senior secured debt securities and $37.6 billion of which would be senior unsecured debt securities. Deutsche Telekom, which currently controls approximately 52.3% of the common stock of Parent (on a fully diluted basis), holds approximately $4.8 billion of these debt securities, maturing in 2022 through 2028. We have on file an effective shelf registration statement with respect to these debt securities held by Deutsche Telekom and Deutsche Telekom could sell all or any portion of them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There is no guarantee that an active trading market for the Notes will exist or that you will be able to sell your Notes.</w:t>
      </w:r>
    </w:p>
    <w:p>
      <w:pPr>
        <w:spacing w:after="0" w:line="62"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An active trading market may not exist for the Exchange Notes or any Original Notes that remain outstanding after the exchange offer. In addition, subsequent to their initial issuance, the Notes may trade at a discount from their initial offering price (or, in the case of Exchange Notes, the initial offering price of the Original Notes of the same series), depending upon prevailing interest rates, the market for similar notes, our operating performance and financial condition and other factors. The Issuer does not intend to apply for the Exchange Notes or any Original Notes that remain outstanding after the exchange offer to be listed on any securities exchange or to arrange for the Exchange Notes or any Original Notes that remain outstanding after the exchange offer to be quoted on any quotation system. An active trading market may not develop for the Exchange Notes or, if developed, may not continue. In addition, there may cease to be a market for the Original Notes. If an active public trading market for the Notes does not develop or ceases to exist, the market price and liquidity of the Notes may be adversely affected.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trading prices for the Notes will be directly affected by many factors, including our credit rating.</w:t>
      </w:r>
    </w:p>
    <w:p>
      <w:pPr>
        <w:spacing w:after="0" w:line="129"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spacing w:after="0" w:line="326"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b w:val="1"/>
          <w:bCs w:val="1"/>
          <w:i w:val="1"/>
          <w:iCs w:val="1"/>
          <w:color w:val="auto"/>
        </w:rPr>
        <w:t>T-Mobile US’ fifth amended and restated certificate of incorporation designates the Court of Chancery of the State of Delaware as the sole and exclusive forum for certain actions and proceedings, which could limit investors’ ability to obtain a judicial forum of their choice for disputes with T-Mobile US or its directors, officers or employees.</w:t>
      </w:r>
    </w:p>
    <w:p>
      <w:pPr>
        <w:spacing w:after="0" w:line="79"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T-Mobile US’ fifth amended and restated certificate of incorporation provides that, unless T-Mobile US consents in writing to the selection of an alternative forum, the Court of Chancery of the State of Delaware shall be the sole and exclusive forum for (i) any derivative action or proceeding brought on behalf of T-Mobile US, (ii) any action asserting a claim of breach of a fiduciary duty owed by any director, officer or employee of T-Mobile US to T-Mobile US or its stockholders, (iii) any action asserting a claim arising pursuant to any provision of the Delaware General Corporation Law, T-Mobile US’ certificate of incorporation or T-Mobile US’ bylaws or (iv) any other action asserting a claim arising under, in connection with, and governed by the internal affairs doctrine. This choice of forum provision does not waive our compliance with our obligations under the federal securities laws and the rules and regulations thereunder. Moreover, the provision does not apply to suits brought to enforce a duty or liability created by the Securities Exchange Act of 1934, as amended (the “Exchange Act”) or by the Securities Act.</w:t>
      </w:r>
    </w:p>
    <w:p>
      <w:pPr>
        <w:spacing w:after="0" w:line="6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This choice of forum provision may increase costs to bring a claim, discourage claims or limit an investor’s ability to bring a claim in a judicial forum that it finds favorable for disputes with T-Mobile US or its directors, officers or employees, which may discourage such lawsuits against T-Mobile US and its directors, officers and employees, even though an action, if successful, might benefit our investors. Alternatively, if a court were to find the choice of forum provision to be inapplicable or unenforceable in an action, we may incur additional costs associated with resolving such matters in other jurisdictions, which could increase our costs of litigation and adversely affect our business and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AFFILIATES WHOSE SECURITIES COLLATERALIZE THE NOTES AND THE GUARANTEES</w:t>
      </w:r>
    </w:p>
    <w:p>
      <w:pPr>
        <w:spacing w:after="0" w:line="12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The Original Notes and the Guarantees with respect thereto (other than the Guarantees provided by Sprint Corporation, Sprint Communications, Inc. and Sprint Capital Corporation, which are unsecured) are secured by, among other things, pledges of (i) the capital stock of the Issuer and (ii) the capital stock of subsidiaries of the Issuer held by the Issuer or any Secured Guarantor; in each case other than Excluded Assets and subject to permitted liens, as further described under “Description of Notes—Collateral—Assets Pledged as Collateral.” The Exchange Notes and the Guarantees with respect thereto (other than the Guarantees provided by Sprint Corporation, Sprint Communications, Inc. and Sprint Capital Corporation, which are unsecured) will be correspondingly secured. Such collateral security is provided on a pari passu basis with respect to the obligations under the Credit Agreement, up to $3.5 billion of lease payment obligations under the Existing Sprint Spectrum Lease, obligations under the Designated L/C Facilities and any other permitted first priority secured obligations, as further described under “Description of Notes—Collateral”.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 as further described under “Description of Notes—The Collateral Trust and Intercreditor Agreement.”</w:t>
      </w:r>
    </w:p>
    <w:p>
      <w:pPr>
        <w:spacing w:after="0" w:line="63"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The Issuer and the Guarantors are and will be able to incur additional indebtedness in the future which could share in the Collateral, including first priority secured obligations and obligations secured by permitted liens. In addition, if the Issuer or any Secured Guarantor acquires any property or asset of the type that constitutes Collateral and that is not an Excluded Asset, it must promptly grant a security interest upon such property as security for the Notes.</w:t>
      </w:r>
    </w:p>
    <w:p>
      <w:pPr>
        <w:spacing w:after="0" w:line="80"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Collateral will be released automatically upon certain events including repayment or discharge of the Notes; a sale, transfer or other disposal of such Collateral in a transaction not prohibited under the indentures governing the Notes; with respect to Collateral held by a guarantor, upon the release of such guarantor from its Guarantee in a transaction not prohibited by the indentures governing the Notes; 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 in whole, upon an Investment Grade Event Election. See “Description of Notes—Collateral— Release.”</w:t>
      </w:r>
    </w:p>
    <w:p>
      <w:pPr>
        <w:spacing w:after="0" w:line="73"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Upon the occurrence and during the continuance of an event of default under the indentures governing the Notes,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trading market exists for the capital stock pledged as Collateral.</w:t>
      </w:r>
    </w:p>
    <w:p>
      <w:pPr>
        <w:spacing w:after="0" w:line="117"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consolidated financial statements of Parent as of and for the year ended December 31, 2020 include the results of operations for Sprint Corporation and its subsidiaries for the nine months ended December 31, 2020, and the results of operations for Sprint Corporation and its subsidiaries for the three months ended March 31, 2020 are set forth in Exhibit 99.1 to Parent’s Current Report on Form 8-K filed on March 16, 2021. The assets, liabilities and results of operations of the combined affiliates whose securities are pledged as Collateral are not materially different than the corresponding amounts presented in the foregoing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We will not receive any cash proceeds from the issuance of the Exchange Notes. We are making this exchange offer solely to satisfy our obligations under the registration rights agreements entered into in connection with the offerings of the Original Notes. In consideration for issuing the Exchange Notes as contemplated in this prospectus, we will receive in exchange Original Notes in like principal amount, which will be cancelled, and, as such, issuing the Exchange Notes will not result in any increase in our indebtedness or be financed with new borrowings.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T-MOBILE</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the Company. The data should be read in conjunction with T-Mobile’s audited consolidated financial statements and related notes as of December 31, 2020 and 2019 and for the three years ended December 31, 2020 contained in Parent’s Annual Report on Form 10-K filed on February 23, 2021. The consolidated balance sheet data as of December 31, 2018, 2017 and 2016 and the consolidated statement of operations and consolidated cash flow data for the fiscal years ended December 31, 2017 and 2016 are derived from T-Mobile’s consolidated financial statements which are not included or incorporated by reference in this prospectus.</w:t>
      </w:r>
    </w:p>
    <w:p>
      <w:pPr>
        <w:spacing w:after="0" w:line="87"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ASU 2016-13, “Financial Instruments—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145"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16" w:lineRule="exact"/>
        <w:rPr>
          <w:sz w:val="20"/>
          <w:szCs w:val="20"/>
          <w:color w:val="auto"/>
        </w:rPr>
      </w:pPr>
    </w:p>
    <w:p>
      <w:pPr>
        <w:ind w:left="5140"/>
        <w:spacing w:after="0"/>
        <w:tabs>
          <w:tab w:leader="none" w:pos="5880" w:val="left"/>
          <w:tab w:leader="none" w:pos="6640" w:val="left"/>
          <w:tab w:leader="none" w:pos="742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Revenues:</w:t>
      </w:r>
    </w:p>
    <w:p>
      <w:pPr>
        <w:spacing w:after="0" w:line="77"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service revenues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$50,395</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$34,500</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$32,441</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$30,525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$28,085</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Equipment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17,312</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10,009</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68,397</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44,998</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43,310</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40,604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37,490</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w w:val="94"/>
              </w:rPr>
              <w:t>Cost of services, exclusive of depreciation and amortization</w:t>
            </w: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shown separately below</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11,878</w:t>
            </w:r>
          </w:p>
        </w:tc>
        <w:tc>
          <w:tcPr>
            <w:tcW w:w="58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6,307</w:t>
            </w: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20"/>
                <w:szCs w:val="20"/>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equipment sales, exclusive of depreciation and</w:t>
            </w: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shown separately below</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11,608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14,139</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13,161</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12,259</w:t>
            </w:r>
          </w:p>
        </w:tc>
        <w:tc>
          <w:tcPr>
            <w:tcW w:w="22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11,378</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6,243</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MetroPCS business combination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680" w:type="dxa"/>
            <w:vAlign w:val="bottom"/>
          </w:tcPr>
          <w:p>
            <w:pPr>
              <w:ind w:left="180"/>
              <w:spacing w:after="0"/>
              <w:rPr>
                <w:sz w:val="20"/>
                <w:szCs w:val="20"/>
                <w:color w:val="auto"/>
              </w:rPr>
            </w:pPr>
            <w:r>
              <w:rPr>
                <w:rFonts w:ascii="Arial" w:cs="Arial" w:eastAsia="Arial" w:hAnsi="Arial"/>
                <w:sz w:val="18"/>
                <w:szCs w:val="18"/>
                <w:color w:val="auto"/>
              </w:rPr>
              <w:t>Gains on disposal of spectrum licenses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(235)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61"/>
        </w:trPr>
        <w:tc>
          <w:tcPr>
            <w:tcW w:w="46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61,761</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38,001</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61"/>
        </w:trPr>
        <w:tc>
          <w:tcPr>
            <w:tcW w:w="46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4"/>
        </w:trPr>
        <w:tc>
          <w:tcPr>
            <w:tcW w:w="46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6,636</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5,722</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5,309</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tbl>
      <w:tblPr>
        <w:tblLayout w:type="fixed"/>
        <w:tblInd w:w="30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(2,483)</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rPr>
              <w:t>(727)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(408)</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(3,106)</w:t>
            </w:r>
          </w:p>
        </w:tc>
        <w:tc>
          <w:tcPr>
            <w:tcW w:w="80" w:type="dxa"/>
            <w:vAlign w:val="bottom"/>
          </w:tcPr>
          <w:p>
            <w:pPr>
              <w:spacing w:after="0"/>
              <w:rPr>
                <w:sz w:val="24"/>
                <w:szCs w:val="24"/>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(1,119)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4,603</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3,917</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3,161</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2,327</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   (786)</w:t>
            </w:r>
          </w:p>
        </w:tc>
        <w:tc>
          <w:tcPr>
            <w:tcW w:w="800" w:type="dxa"/>
            <w:vAlign w:val="bottom"/>
            <w:gridSpan w:val="4"/>
          </w:tcPr>
          <w:p>
            <w:pPr>
              <w:jc w:val="right"/>
              <w:ind w:right="10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(1,135)</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(1,029)</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$ 1,375</w:t>
            </w:r>
          </w:p>
        </w:tc>
        <w:tc>
          <w:tcPr>
            <w:tcW w:w="2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(867)</w:t>
            </w: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3,468</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2,888</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$ 4,536</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$ 1,460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2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5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$ 4,481</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$ 1,405</w:t>
            </w:r>
          </w:p>
        </w:tc>
        <w:tc>
          <w:tcPr>
            <w:tcW w:w="80" w:type="dxa"/>
            <w:vAlign w:val="bottom"/>
            <w:shd w:val="clear" w:color="auto" w:fill="CCEEFF"/>
          </w:tcPr>
          <w:p>
            <w:pPr>
              <w:spacing w:after="0"/>
              <w:rPr>
                <w:sz w:val="24"/>
                <w:szCs w:val="24"/>
                <w:color w:val="auto"/>
              </w:rPr>
            </w:pPr>
          </w:p>
        </w:tc>
      </w:tr>
      <w:tr>
        <w:trPr>
          <w:trHeight w:val="310"/>
        </w:trPr>
        <w:tc>
          <w:tcPr>
            <w:tcW w:w="45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8,640</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$ 6,824</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$ 3,899</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$ 3,831</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$ 2,779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(4,125)</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13,010</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(2,374)</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r>
      <w:tr>
        <w:trPr>
          <w:trHeight w:val="353"/>
        </w:trPr>
        <w:tc>
          <w:tcPr>
            <w:tcW w:w="1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7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2"/>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$ 23,885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$ 9,305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$ 8,281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$ 8,915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$14,217</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23,359</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20,943</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28,021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10,933</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lease right-of-use assets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w w:val="93"/>
              </w:rPr>
              <w:t>Goodwill, spectrum licenses and other intangible assets, net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99,243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38,510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37,658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37,266</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29,073</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assets and equipment installment plan receivables due</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after one year, net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200,162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86,921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72,468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70,563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65,891</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61,830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10,958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12,124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21,832</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14,582</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Tower obligations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3,028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2,557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2,590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Financing lease liabilities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1,346</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long-term liabilities, deferred rent expense and deferred</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8,220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65,344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28,789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24,718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22,559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-7988935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-7988935</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-7988935</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-7988935</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-3728085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-3728085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-3728085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-3728085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SPRINT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and cash flow data for the fiscal years ended March 31, 2017 and 2016 are derived from Sprint’s consolidated financial statements which are not included or incorporated by reference in this prospectus. Sprint’s historical financial data may not be indicative of the results of operations or financial position to be expected in the future.</w:t>
      </w:r>
    </w:p>
    <w:p>
      <w:pPr>
        <w:spacing w:after="0" w:line="8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 – Income Taxes in Notes to Sprint’s Consolidated Financial Statements contained in Exhibit 99.1 to Parent’s Current Report on Form 8-K filed on May 18, 2020 for additional information.</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p>
      <w:pPr>
        <w:spacing w:after="0" w:line="129"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49530</wp:posOffset>
            </wp:positionV>
            <wp:extent cx="24345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6" w:lineRule="exact"/>
        <w:rPr>
          <w:sz w:val="20"/>
          <w:szCs w:val="20"/>
          <w:color w:val="auto"/>
        </w:rPr>
      </w:pPr>
    </w:p>
    <w:p>
      <w:pPr>
        <w:ind w:left="5060"/>
        <w:spacing w:after="0"/>
        <w:tabs>
          <w:tab w:leader="none" w:pos="5860" w:val="left"/>
          <w:tab w:leader="none" w:pos="6640" w:val="left"/>
          <w:tab w:leader="none" w:pos="742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49530</wp:posOffset>
            </wp:positionV>
            <wp:extent cx="2434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1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$21,604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$22,857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$23,834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$25,368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$27,174</w:t>
            </w: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58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8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2"/>
                <w:szCs w:val="22"/>
                <w:color w:val="auto"/>
              </w:rPr>
            </w:pPr>
          </w:p>
        </w:tc>
      </w:tr>
      <w:tr>
        <w:trPr>
          <w:trHeight w:val="61"/>
        </w:trPr>
        <w:tc>
          <w:tcPr>
            <w:tcW w:w="4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revenues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33,347</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Depreciation—network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Depreciation—equipment rentals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45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Net (loss) income attributable to Sprint Corporation</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(1,943)</w:t>
            </w:r>
          </w:p>
        </w:tc>
        <w:tc>
          <w:tcPr>
            <w:tcW w:w="580" w:type="dxa"/>
            <w:vAlign w:val="bottom"/>
          </w:tcPr>
          <w:p>
            <w:pPr>
              <w:jc w:val="right"/>
              <w:spacing w:after="0"/>
              <w:rPr>
                <w:sz w:val="20"/>
                <w:szCs w:val="20"/>
                <w:color w:val="auto"/>
              </w:rPr>
            </w:pPr>
            <w:r>
              <w:rPr>
                <w:rFonts w:ascii="Arial" w:cs="Arial" w:eastAsia="Arial" w:hAnsi="Arial"/>
                <w:sz w:val="18"/>
                <w:szCs w:val="18"/>
                <w:color w:val="auto"/>
              </w:rPr>
              <w:t>7,389</w:t>
            </w:r>
          </w:p>
        </w:tc>
        <w:tc>
          <w:tcPr>
            <w:tcW w:w="1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37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tbl>
      <w:tblPr>
        <w:tblLayout w:type="fixed"/>
        <w:tblInd w:w="1300" w:type="dxa"/>
        <w:tblCellMar>
          <w:top w:w="0" w:type="dxa"/>
          <w:left w:w="0" w:type="dxa"/>
          <w:bottom w:w="0" w:type="dxa"/>
          <w:right w:w="0" w:type="dxa"/>
        </w:tblCellMar>
      </w:tblPr>
      <w:tr>
        <w:trPr>
          <w:trHeight w:val="161"/>
        </w:trPr>
        <w:tc>
          <w:tcPr>
            <w:tcW w:w="48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6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6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$84,559</w:t>
            </w:r>
          </w:p>
        </w:tc>
        <w:tc>
          <w:tcPr>
            <w:tcW w:w="720" w:type="dxa"/>
            <w:vAlign w:val="bottom"/>
          </w:tcPr>
          <w:p>
            <w:pPr>
              <w:jc w:val="right"/>
              <w:spacing w:after="0"/>
              <w:rPr>
                <w:sz w:val="20"/>
                <w:szCs w:val="20"/>
                <w:color w:val="auto"/>
              </w:rPr>
            </w:pPr>
            <w:r>
              <w:rPr>
                <w:rFonts w:ascii="Arial" w:cs="Arial" w:eastAsia="Arial" w:hAnsi="Arial"/>
                <w:sz w:val="18"/>
                <w:szCs w:val="18"/>
                <w:color w:val="auto"/>
              </w:rPr>
              <w:t>$84,601</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$85,459</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$85,123</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$78,975</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19,925</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660" w:type="dxa"/>
            <w:vAlign w:val="bottom"/>
          </w:tcPr>
          <w:p>
            <w:pPr>
              <w:jc w:val="right"/>
              <w:spacing w:after="0"/>
              <w:rPr>
                <w:sz w:val="20"/>
                <w:szCs w:val="20"/>
                <w:color w:val="auto"/>
              </w:rPr>
            </w:pPr>
            <w:r>
              <w:rPr>
                <w:rFonts w:ascii="Arial" w:cs="Arial" w:eastAsia="Arial" w:hAnsi="Arial"/>
                <w:sz w:val="18"/>
                <w:szCs w:val="18"/>
                <w:color w:val="auto"/>
              </w:rPr>
              <w:t>46,904</w:t>
            </w:r>
          </w:p>
        </w:tc>
        <w:tc>
          <w:tcPr>
            <w:tcW w:w="720" w:type="dxa"/>
            <w:vAlign w:val="bottom"/>
          </w:tcPr>
          <w:p>
            <w:pPr>
              <w:jc w:val="right"/>
              <w:spacing w:after="0"/>
              <w:rPr>
                <w:sz w:val="20"/>
                <w:szCs w:val="20"/>
                <w:color w:val="auto"/>
              </w:rPr>
            </w:pPr>
            <w:r>
              <w:rPr>
                <w:rFonts w:ascii="Arial" w:cs="Arial" w:eastAsia="Arial" w:hAnsi="Arial"/>
                <w:sz w:val="18"/>
                <w:szCs w:val="18"/>
                <w:color w:val="auto"/>
              </w:rPr>
              <w:t>47,832</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50,360</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50,484</w:t>
            </w:r>
          </w:p>
        </w:tc>
        <w:tc>
          <w:tcPr>
            <w:tcW w:w="680" w:type="dxa"/>
            <w:vAlign w:val="bottom"/>
          </w:tcPr>
          <w:p>
            <w:pPr>
              <w:jc w:val="right"/>
              <w:spacing w:after="0"/>
              <w:rPr>
                <w:sz w:val="20"/>
                <w:szCs w:val="20"/>
                <w:color w:val="auto"/>
              </w:rPr>
            </w:pPr>
            <w:r>
              <w:rPr>
                <w:rFonts w:ascii="Arial" w:cs="Arial" w:eastAsia="Arial" w:hAnsi="Arial"/>
                <w:sz w:val="18"/>
                <w:szCs w:val="18"/>
                <w:color w:val="auto"/>
              </w:rPr>
              <w:t>51,117</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finance lease and financing obligations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40,892</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40,914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25,855</w:t>
            </w:r>
          </w:p>
        </w:tc>
        <w:tc>
          <w:tcPr>
            <w:tcW w:w="720" w:type="dxa"/>
            <w:vAlign w:val="bottom"/>
          </w:tcPr>
          <w:p>
            <w:pPr>
              <w:jc w:val="right"/>
              <w:spacing w:after="0"/>
              <w:rPr>
                <w:sz w:val="20"/>
                <w:szCs w:val="20"/>
                <w:color w:val="auto"/>
              </w:rPr>
            </w:pPr>
            <w:r>
              <w:rPr>
                <w:rFonts w:ascii="Arial" w:cs="Arial" w:eastAsia="Arial" w:hAnsi="Arial"/>
                <w:sz w:val="18"/>
                <w:szCs w:val="18"/>
                <w:color w:val="auto"/>
              </w:rPr>
              <w:t>26,072</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26,356</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18,808</w:t>
            </w:r>
          </w:p>
        </w:tc>
        <w:tc>
          <w:tcPr>
            <w:tcW w:w="680" w:type="dxa"/>
            <w:vAlign w:val="bottom"/>
          </w:tcPr>
          <w:p>
            <w:pPr>
              <w:jc w:val="right"/>
              <w:spacing w:after="0"/>
              <w:rPr>
                <w:sz w:val="20"/>
                <w:szCs w:val="20"/>
                <w:color w:val="auto"/>
              </w:rPr>
            </w:pPr>
            <w:r>
              <w:rPr>
                <w:rFonts w:ascii="Arial" w:cs="Arial" w:eastAsia="Arial" w:hAnsi="Arial"/>
                <w:sz w:val="18"/>
                <w:szCs w:val="18"/>
                <w:color w:val="auto"/>
              </w:rPr>
              <w:t>19,783</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-1636395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-1636395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-1636395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-1636395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5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w w:val="94"/>
              </w:rPr>
              <w:t>Net cash provided by (used in) operating activities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$ 9,292</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$10,429</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$10,062</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$(3,290)</w:t>
            </w:r>
          </w:p>
        </w:tc>
        <w:tc>
          <w:tcPr>
            <w:tcW w:w="720" w:type="dxa"/>
            <w:vAlign w:val="bottom"/>
          </w:tcPr>
          <w:p>
            <w:pPr>
              <w:jc w:val="right"/>
              <w:spacing w:after="0"/>
              <w:rPr>
                <w:sz w:val="20"/>
                <w:szCs w:val="20"/>
                <w:color w:val="auto"/>
              </w:rPr>
            </w:pPr>
            <w:r>
              <w:rPr>
                <w:rFonts w:ascii="Arial" w:cs="Arial" w:eastAsia="Arial" w:hAnsi="Arial"/>
                <w:sz w:val="18"/>
                <w:szCs w:val="18"/>
                <w:color w:val="auto"/>
              </w:rPr>
              <w:t>$  (423)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expenditures—network and other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(3,319)</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Capital expenditures—leased devices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(6,865)</w:t>
            </w:r>
          </w:p>
        </w:tc>
        <w:tc>
          <w:tcPr>
            <w:tcW w:w="820" w:type="dxa"/>
            <w:vAlign w:val="bottom"/>
          </w:tcPr>
          <w:p>
            <w:pPr>
              <w:jc w:val="right"/>
              <w:spacing w:after="0"/>
              <w:rPr>
                <w:sz w:val="20"/>
                <w:szCs w:val="20"/>
                <w:color w:val="auto"/>
              </w:rPr>
            </w:pPr>
            <w:r>
              <w:rPr>
                <w:rFonts w:ascii="Arial" w:cs="Arial" w:eastAsia="Arial" w:hAnsi="Arial"/>
                <w:sz w:val="18"/>
                <w:szCs w:val="18"/>
                <w:color w:val="auto"/>
              </w:rPr>
              <w:t>(7,441)</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(7,461)</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(4,976)</w:t>
            </w:r>
          </w:p>
        </w:tc>
        <w:tc>
          <w:tcPr>
            <w:tcW w:w="720" w:type="dxa"/>
            <w:vAlign w:val="bottom"/>
          </w:tcPr>
          <w:p>
            <w:pPr>
              <w:jc w:val="right"/>
              <w:spacing w:after="0"/>
              <w:rPr>
                <w:sz w:val="20"/>
                <w:szCs w:val="20"/>
                <w:color w:val="auto"/>
              </w:rPr>
            </w:pPr>
            <w:r>
              <w:rPr>
                <w:rFonts w:ascii="Arial" w:cs="Arial" w:eastAsia="Arial" w:hAnsi="Arial"/>
                <w:sz w:val="18"/>
                <w:szCs w:val="18"/>
                <w:color w:val="auto"/>
              </w:rPr>
              <w:t>(5,898)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4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-1422400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-1422400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-1422400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-1422400</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300" w:right="419" w:firstLine="360"/>
        <w:spacing w:after="0" w:line="342" w:lineRule="auto"/>
        <w:rPr>
          <w:sz w:val="20"/>
          <w:szCs w:val="20"/>
          <w:color w:val="auto"/>
        </w:rPr>
      </w:pPr>
      <w:r>
        <w:rPr>
          <w:rFonts w:ascii="Arial" w:cs="Arial" w:eastAsia="Arial" w:hAnsi="Arial"/>
          <w:sz w:val="16"/>
          <w:szCs w:val="16"/>
          <w:color w:val="auto"/>
        </w:rPr>
        <w:t>We entered into registration rights agreements (the “registration rights agreements”) with the initial purchasers of the Original Notes. In the registration rights agreements, we and the guarantors agreed to, at our cost:</w:t>
      </w:r>
    </w:p>
    <w:p>
      <w:pPr>
        <w:spacing w:after="0" w:line="16" w:lineRule="exact"/>
        <w:rPr>
          <w:sz w:val="20"/>
          <w:szCs w:val="20"/>
          <w:color w:val="auto"/>
        </w:rPr>
      </w:pPr>
    </w:p>
    <w:p>
      <w:pPr>
        <w:ind w:left="1000" w:right="319" w:hanging="348"/>
        <w:spacing w:after="0" w:line="25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our commercially reasonable efforts to file a registration statement (which we refer to as an exchange offer registration statement) with the SEC with respect to a registered exchange offer (which we refer to as a registered exchange offer) to exchange the Original Notes for new notes of the company, guaranteed by the guarantors and having terms identical in all material respects to the Original Notes (except that the new notes will not contain terms with respect to transfer restrictions or additional interest (as defined below)); and</w:t>
      </w:r>
    </w:p>
    <w:p>
      <w:pPr>
        <w:spacing w:after="0" w:line="84"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our commercially reasonable efforts to cause the exchange offer registration statement to be declared effective under the Securities Act and to consummate the exchange offer not later than 60 days after such effective date.</w:t>
      </w:r>
    </w:p>
    <w:p>
      <w:pPr>
        <w:spacing w:after="0" w:line="76" w:lineRule="exact"/>
        <w:rPr>
          <w:sz w:val="20"/>
          <w:szCs w:val="20"/>
          <w:color w:val="auto"/>
        </w:rPr>
      </w:pPr>
    </w:p>
    <w:p>
      <w:pPr>
        <w:ind w:left="300" w:right="539" w:firstLine="360"/>
        <w:spacing w:after="0" w:line="287" w:lineRule="auto"/>
        <w:rPr>
          <w:sz w:val="20"/>
          <w:szCs w:val="20"/>
          <w:color w:val="auto"/>
        </w:rPr>
      </w:pPr>
      <w:r>
        <w:rPr>
          <w:rFonts w:ascii="Arial" w:cs="Arial" w:eastAsia="Arial" w:hAnsi="Arial"/>
          <w:sz w:val="16"/>
          <w:szCs w:val="16"/>
          <w:color w:val="auto"/>
        </w:rPr>
        <w:t>In addition, we agreed to provide that upon the effectiveness of the exchange offer registration statement, we would promptly commence the exchange offer, whereby the Exchange Notes will be offered in exchange for surrender of the Original Notes, and that we will keep the registered exchange offer open for not less than</w:t>
      </w:r>
    </w:p>
    <w:p>
      <w:pPr>
        <w:spacing w:after="0" w:line="2"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20 business days (or longer if required by applicable law including in accordance with the requirements of Regulation 14E under the Securities Exchange Act of 1934, as amended (the “Exchange Act”)) after the date notice of the registered exchange offer is first mailed, sent or given to the noteholders. For each note surrendered to Issuer for exchange pursuant to the registered exchange offer, the holder of such note will receive an Exchange Note having a principal amount equal to that of the surrendered note.</w:t>
      </w:r>
    </w:p>
    <w:p>
      <w:pPr>
        <w:spacing w:after="0" w:line="83"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We are offering the Exchange Notes under this prospectus in an exchange offer for the Original Notes to satisfy our obligations under the registration rights agreements. We refer to our offer to exchange the Exchange Notes for the Original Notes as the “exchange offer.”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Resale of Exchange Notes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 xml:space="preserve">Based on interpretations by the staff of the SEC, as described in no-action letters issued to third parties that are not related to us, including </w:t>
      </w:r>
      <w:r>
        <w:rPr>
          <w:rFonts w:ascii="Arial" w:cs="Arial" w:eastAsia="Arial" w:hAnsi="Arial"/>
          <w:sz w:val="16"/>
          <w:szCs w:val="16"/>
          <w:i w:val="1"/>
          <w:iCs w:val="1"/>
          <w:color w:val="auto"/>
        </w:rPr>
        <w:t>Morgan Stanley &amp; Co., Inc.</w:t>
      </w:r>
      <w:r>
        <w:rPr>
          <w:rFonts w:ascii="Arial" w:cs="Arial" w:eastAsia="Arial" w:hAnsi="Arial"/>
          <w:sz w:val="16"/>
          <w:szCs w:val="16"/>
          <w:color w:val="auto"/>
        </w:rPr>
        <w:t xml:space="preserve"> (available June 5, 1991) and </w:t>
      </w:r>
      <w:r>
        <w:rPr>
          <w:rFonts w:ascii="Arial" w:cs="Arial" w:eastAsia="Arial" w:hAnsi="Arial"/>
          <w:sz w:val="16"/>
          <w:szCs w:val="16"/>
          <w:i w:val="1"/>
          <w:iCs w:val="1"/>
          <w:color w:val="auto"/>
        </w:rPr>
        <w:t>Exxon Capital Holdings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 </w:t>
      </w:r>
      <w:r>
        <w:rPr>
          <w:rFonts w:ascii="Arial" w:cs="Arial" w:eastAsia="Arial" w:hAnsi="Arial"/>
          <w:sz w:val="16"/>
          <w:szCs w:val="16"/>
          <w:color w:val="auto"/>
        </w:rPr>
        <w:t>(available May 13, 1988), as interpreted in the SEC’s letter to Shearman &amp; Sterling LLP (dated July 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1993), we believe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broker-dealers (“Participating Broker-Dealers”) receiving Exchange Notes in the exchange offer will have a prospectus delivery requirement with respect to resales of such Exchange Notes. We also believe that Participating Broker-Dealers may fulfill their prospectus delivery requirements with respect to Exchange Notes (other than a resale of an unsold allotment from the sale of the Original Notes) with this prospectus.</w:t>
      </w:r>
    </w:p>
    <w:p>
      <w:pPr>
        <w:spacing w:after="0" w:line="60"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 If you tender your Original Notes in the exchange offer with the intention of participating in any manner in a distribution of the Exchange Notes, you:</w:t>
      </w:r>
    </w:p>
    <w:p>
      <w:pPr>
        <w:spacing w:after="0" w:line="80"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cannot rely on such interpretations of the SEC staff set forth in the no-action letters described above; and</w:t>
      </w:r>
    </w:p>
    <w:p>
      <w:pPr>
        <w:spacing w:after="0" w:line="140"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order to resell Exchange Notes, and be identified as an underwriter in the prospectus.</w:t>
      </w:r>
    </w:p>
    <w:p>
      <w:pPr>
        <w:spacing w:after="0" w:line="62"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Unless an exemption from registration is otherwise available, the resale by any security holder intending to distribute Exchange Notes should be covered by an effective registration statement under the Securities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containing the selling security holder’s information required under the Securities Act. This prospectus may be used for an offer to resell, a resale or other retransfer of Exchange Notes only as specifically described in this prospectus. 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Shelf Registration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registration rights agreements, we agreed that in the event that:</w:t>
      </w:r>
    </w:p>
    <w:p>
      <w:pPr>
        <w:spacing w:after="0" w:line="117" w:lineRule="exact"/>
        <w:rPr>
          <w:sz w:val="20"/>
          <w:szCs w:val="20"/>
          <w:color w:val="auto"/>
        </w:rPr>
      </w:pPr>
    </w:p>
    <w:p>
      <w:pPr>
        <w:ind w:left="1000" w:right="87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in applicable law or interpretations of the staff of the SEC do not permit the us and the guarantors to effect such a registered exchange offer;</w:t>
      </w:r>
    </w:p>
    <w:p>
      <w:pPr>
        <w:spacing w:after="0" w:line="62" w:lineRule="exact"/>
        <w:rPr>
          <w:rFonts w:ascii="Arial" w:cs="Arial" w:eastAsia="Arial" w:hAnsi="Arial"/>
          <w:sz w:val="18"/>
          <w:szCs w:val="18"/>
          <w:color w:val="auto"/>
        </w:rPr>
      </w:pPr>
    </w:p>
    <w:p>
      <w:pPr>
        <w:ind w:left="1000" w:right="339" w:hanging="348"/>
        <w:spacing w:after="0" w:line="25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the filing of the exchange offer registration statement with the SEC, we receive a written request within 20 business days after the consummation of the exchange offer from any noteholder that is prohibited by law or SEC policy from participating in the registered exchange offer, any noteholder who participates in the registered exchange offer but does not receive Exchange Notes that may be sold without Securities Act restrictions on transfer (other than restrictions resulting solely by reason of the status of such noteholder as our affiliate or an affiliate of any guarantor) (subject, in each case, to certain exceptions), or any initial purchasers with respect to the Original Notes that have, or that are reasonably likely to be determined to have, the status of unsold allotments in the original distribution of the Original Notes,</w:t>
      </w:r>
    </w:p>
    <w:p>
      <w:pPr>
        <w:spacing w:after="0" w:line="88" w:lineRule="exact"/>
        <w:rPr>
          <w:sz w:val="20"/>
          <w:szCs w:val="20"/>
          <w:color w:val="auto"/>
        </w:rPr>
      </w:pPr>
    </w:p>
    <w:p>
      <w:pPr>
        <w:ind w:left="660" w:right="359"/>
        <w:spacing w:after="0" w:line="285" w:lineRule="auto"/>
        <w:rPr>
          <w:sz w:val="20"/>
          <w:szCs w:val="20"/>
          <w:color w:val="auto"/>
        </w:rPr>
      </w:pPr>
      <w:r>
        <w:rPr>
          <w:rFonts w:ascii="Arial" w:cs="Arial" w:eastAsia="Arial" w:hAnsi="Arial"/>
          <w:sz w:val="16"/>
          <w:szCs w:val="16"/>
          <w:color w:val="auto"/>
        </w:rPr>
        <w:t>then in all such cases, we and the guarantors will, as soon as practicable but in any event within 60 days of the date of the written request, use our commercially reasonable efforts to (a) file a registration statement (which we refer to as a shelf registration statement) covering resales of the Original Notes or the Exchange Notes, as the case may be, from time to time, (b) cause the shelf registration statement to be declared effective by the SEC under the Securities Act promptly and (c) keep the shelf registration statement effective until the earlier of</w:t>
      </w:r>
    </w:p>
    <w:p>
      <w:pPr>
        <w:spacing w:after="0" w:line="2" w:lineRule="exact"/>
        <w:rPr>
          <w:sz w:val="20"/>
          <w:szCs w:val="20"/>
          <w:color w:val="auto"/>
        </w:rPr>
      </w:pPr>
    </w:p>
    <w:p>
      <w:pPr>
        <w:ind w:left="660" w:right="339" w:hanging="8"/>
        <w:spacing w:after="0" w:line="284" w:lineRule="auto"/>
        <w:tabs>
          <w:tab w:leader="none" w:pos="9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date that is 210 calendar days following the due date for Parent’s Annual Report on Form 10-K for the first year in which Sprint and its subsidiaries have been included in the consolidated results of Parent for at least nine months (Y) the date when the Original Notes cease to be registrable securities as defined in the applicable registration rights agreement or (Z) the date on which all Original Notes and/or Exchange Notes covered by the shelf registration statement have been sold in the manner set forth and as contemplated in the shelf registration statement. In addition, we agreed to, in the event a shelf registration statement is filed, use our commercially reasonable efforts to provide to each noteholder for which such shelf registration statement was filed, copies of the prospectus which is a part of the shelf registration statement, notify each such noteholder when the shelf registration statement has been declared effective by the SEC and take certain other actions as are required to permit unrestricted resales of the Original Notes or the Exchange Notes, as the case may be. A noteholder selling Original Notes or Exchange Notes pursuant to the shelf registration statement generally would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agreements which are applicable to such noteholder (including certain indemnification obligations). In addition, each holder of the Original Notes or Exchange Notes to be registered under the shelf registration statement will be required to deliver information to be used in connection with the shelf registration statement within the time period set forth in the registration rights agreement in order to have such holder’s Original Notes or Exchange Notes included in the shelf registration statement and to benefit from the provisions regarding additional interest set forth in the following paragraph.</w:t>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Interest</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If the exchange offer registration statement is not on file with the SEC on or prior to the target filing date, or, if applicable, the shelf registration statement is required to be filed but is not on file with the SEC on or prior to the target filing date, or if applicable, the shelf registration statement is declared effective but thereafter ceases to be effective or usable and such failure to remain effective or usable exists for more than 120 days (whether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not consecutive) in any 12-month period (in each case subject to certain exceptions), then, upon the occurrence of any such events, additional interest shall accrue on the principal amount of the Original Notes at a rate of 0.25% per annum for the first 90-day period beginning on and including such date, increasing by an additional 0.25% per annum with respect to any subsequent 90-day period up to a maximum amount of additional interest of 0.50% in the aggregate per annum thereafter, until the Original Notes cease to be registrable securities or, if earlier, when the exchange offer is completed, the shelf registration statement becomes effective or, if such shelf registration statement ceased to be effective, when such shelf registration statement again becomes effective. Such interest will be computed ratably on the basis of twelve 30-day months.</w:t>
      </w:r>
    </w:p>
    <w:p>
      <w:pPr>
        <w:spacing w:after="0" w:line="57"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Under certain circumstances, we and the guarantors may delay the filing or the effectiveness of the exchange offer registration statement or the shelf registration statement and will not be required to maintain the effectiveness thereof or amend or supplement the exchange offer registration statement or the shelf registration statement for one or more periods not to exceed an aggregate of 120 days during any 12-month period. Any delay period will not defer our obligation to pay additional interest.</w:t>
      </w:r>
    </w:p>
    <w:p>
      <w:pPr>
        <w:spacing w:after="0" w:line="80"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This summary of certain provisions of the registration rights agreements does not purport to be complete and is subject to, and is qualified in its entirety by reference to, all the provisions of the applicable registration rights agreement. A copy of each registration rights agreement is an exhibit to the registration statement that includes this prospectus.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Upon the terms and subject to the conditions described in this prospectus and in the letter of transmittal, we will accept for exchange any Original Notes properly tendered and not withdrawn prior to the expiration time of the exchange offer. We will issue $1,000 principal amount of Exchange Notes in exchange for each $1,000 principal amount of Original Notes surrendered under the exchange offer and accepted by us. Original Notes may be tendered only in integral multiples of $1,000, subject to a $2,000 minimum, and untendered Original Notes may only be in a minimum denomination of $2,000 and integral multiples of $1,000 in excess thereof.</w:t>
      </w:r>
    </w:p>
    <w:p>
      <w:pPr>
        <w:spacing w:after="0" w:line="70"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The terms of the Exchange Notes are identical in all material respects to those of the Original Notes, except the Exchange Notes will not be subject to transfer restrictions and holders of the Exchange Notes, with limited exceptions, will have no registration rights. Also, the Exchange Notes will not include provisions contained in the Original Notes that required payment of additional interest in the event we failed to satisfy our registration obligations with respect to the Original Notes. Each series of Exchange Notes will be issued under and entitled to the benefits of the same indenture that authorized the issuance of the related Original Notes.</w:t>
      </w:r>
    </w:p>
    <w:p>
      <w:pPr>
        <w:spacing w:after="0" w:line="70"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for exchange.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prospectus, $3,000,000,000 in aggregate principal amount of the unregistered 3.500%</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Secured Notes due 2025, $1,000,000,000 in aggregate principal amount of the unregistered 1.500% Senior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Secured Notes due 2026, $4,000,000,000 in aggregate principal amount of the unregistered 3.750% Senior 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due 2027, $1,750,000,000 in aggregate principal amount of the unregistered 2.050% Senior Secured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due 2028, $7,000,000,000 in aggregate principal amount of the unregistered 3.875% Senior Secured Notes due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2030, $2,500,000,000 in aggregate principal amount of the unregistered 2.550% Senior Secured Notes due 2031,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$1,000,000,000 in aggregate principal amount of the unregistered 2.250% Senior Secured Notes due 2031,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$2,000,000,000 in aggregate principal amount of the unregistered 4.375% Senior Secured Notes due 2040,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$2,500,000,000 in aggregate principal amount of the unregistered 3.000% Senior Secured Notes due 2041,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$3,000,000,000 in aggregate principal amount of the unregistered 4.500% Senior Secured Notes due 2050,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$3,000,000,000 in aggregate principal amount of the unregistered 3.300% Senior Secured Notes due 2051,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$1,000,000,000 in aggregate principal amount of the unregistered 3.600% Senior Secured Notes due 2060 are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outstanding. This prospectus and the letter of transmittal are being sent to all registered holders of the Original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Notes. There will be no fixed record date for determining registered holders of the Original Notes entitled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participate in the exchange offer.</w:t>
      </w:r>
    </w:p>
    <w:p>
      <w:pPr>
        <w:spacing w:after="0" w:line="103"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 the applicable requirements of the Securities Act and the Exchange Act, and the SEC rules and regulations. Original Notes that are not tendered for exchange in the exchange offer:</w:t>
      </w:r>
    </w:p>
    <w:p>
      <w:pPr>
        <w:spacing w:after="0" w:line="76"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remain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continue to accrue interest; and</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entitled to the rights and benefits that holders have under the indenture relating to such notes and, under limited circumstances, the registration rights agreement.</w:t>
      </w:r>
    </w:p>
    <w:p>
      <w:pPr>
        <w:spacing w:after="0" w:line="62"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We will be deemed to have accepted for exchange properly tendered Original Notes when we have given oral or written notice of the acceptance to the exchange agent and complied with the applicable provisions of the registration rights agreement. The exchange agent will act as agent for the tendering holders for the purposes of receiving the Exchange Notes from us. We will issue the Exchange Notes promptly after the expiration of the exchange offer.</w:t>
      </w:r>
    </w:p>
    <w:p>
      <w:pPr>
        <w:spacing w:after="0" w:line="80"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you tender Original Notes in the exchange offer, you will not be required to pay brokerage commissions or fees or, subject to the instructions in the letter of transmittal, transfer taxes with respect to the exchange of Original Notes. We will pay all charges and expenses, other than certain applicable taxes described below, in connection with the exchange offer. It is important that you read “—Fees and Expenses” below for more details about fees and expenses incurred in the exchange offer.</w:t>
      </w:r>
    </w:p>
    <w:p>
      <w:pPr>
        <w:spacing w:after="0" w:line="80" w:lineRule="exact"/>
        <w:rPr>
          <w:sz w:val="20"/>
          <w:szCs w:val="20"/>
          <w:color w:val="auto"/>
        </w:rPr>
      </w:pPr>
    </w:p>
    <w:p>
      <w:pPr>
        <w:ind w:left="300" w:right="619" w:firstLine="360"/>
        <w:spacing w:after="0" w:line="308" w:lineRule="auto"/>
        <w:rPr>
          <w:sz w:val="20"/>
          <w:szCs w:val="20"/>
          <w:color w:val="auto"/>
        </w:rPr>
      </w:pPr>
      <w:r>
        <w:rPr>
          <w:rFonts w:ascii="Arial" w:cs="Arial" w:eastAsia="Arial" w:hAnsi="Arial"/>
          <w:sz w:val="17"/>
          <w:szCs w:val="17"/>
          <w:color w:val="auto"/>
        </w:rPr>
        <w:t>We will return any Original Notes that we do not accept for exchange for any reason without expense to the tendering holder as promptly as practicable after the expiration or termination of the exchange offer.</w:t>
      </w:r>
    </w:p>
    <w:p>
      <w:pPr>
        <w:spacing w:after="0" w:line="38"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The exchange offer is not subject to any federal or state regulatory requirements or approvals other than securities laws and blue sky laws.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Expiration Time</w:t>
      </w:r>
    </w:p>
    <w:p>
      <w:pPr>
        <w:spacing w:after="0" w:line="121" w:lineRule="exact"/>
        <w:rPr>
          <w:sz w:val="20"/>
          <w:szCs w:val="20"/>
          <w:color w:val="auto"/>
        </w:rPr>
      </w:pPr>
    </w:p>
    <w:p>
      <w:pPr>
        <w:ind w:left="300" w:right="1039" w:firstLine="360"/>
        <w:spacing w:after="0" w:line="277" w:lineRule="auto"/>
        <w:rPr>
          <w:sz w:val="20"/>
          <w:szCs w:val="20"/>
          <w:color w:val="auto"/>
        </w:rPr>
      </w:pPr>
      <w:r>
        <w:rPr>
          <w:rFonts w:ascii="Arial" w:cs="Arial" w:eastAsia="Arial" w:hAnsi="Arial"/>
          <w:sz w:val="18"/>
          <w:szCs w:val="18"/>
          <w:color w:val="auto"/>
        </w:rPr>
        <w:t>The exchange offer will expire at 5:00 p.m., New York City time, on May 21, 2021, unless at our sole discretion we extend the exchange offer.</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Extensions, Delay in Acceptance, Termination or Amendment</w:t>
      </w:r>
    </w:p>
    <w:p>
      <w:pPr>
        <w:spacing w:after="0" w:line="121"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We expressly reserve the right, at any time or at various times, to extend the period of time during which the exchange offer is open. We may delay acceptance for exchange of any Original Notes by giving oral or written notice of the extension to their holders. During any such extensions, all Original Notes you have previously tendered will remain subject to the exchange offer for that series, and we may accept them for exchange.</w:t>
      </w:r>
    </w:p>
    <w:p>
      <w:pPr>
        <w:spacing w:after="0" w:line="49"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7"/>
          <w:szCs w:val="17"/>
          <w:color w:val="auto"/>
        </w:rPr>
        <w:t>To extend the exchange offer, we will notify the exchange agent orally or in writing (if oral to be promptly confirmed in writing) of any extension. We also will make a public announcement of the extension no later than 9:00 a.m., New York City time, on the next business day after the previously scheduled expiration time.</w:t>
      </w:r>
    </w:p>
    <w:p>
      <w:pPr>
        <w:spacing w:after="0" w:line="5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If any of the conditions described below under “—Conditions to the Exchange Offer” have not been satisfied with respect to the exchange offer, we reserve the right, at our sole discretion:</w:t>
      </w:r>
    </w:p>
    <w:p>
      <w:pPr>
        <w:spacing w:after="0" w:line="62"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delay accepting for exchange any Original Notes;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We will give oral or written notice (if oral to be promptly confirmed in writing) of such extension, delay or termination to the exchange agent. Subject to the terms of the registration rights agreement, we also reserve the right to amend the terms of the exchange offer in any manner.</w:t>
      </w:r>
    </w:p>
    <w:p>
      <w:pPr>
        <w:spacing w:after="0" w:line="76"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Any such extension, delay in acceptance, termination or amendment will be followed as promptly as practicable by oral or written notice thereof to the registered holders of the Original Notes. If we amend the exchange offer in a manner that we determine to constitute a material change, we will promptly disclose that amendment by means of a prospectus supplement and we will extend the offer period if necessary so that at least five business days remain in the offer period following notice of the material change. We will distribute the supplement to the registered holders of the Original Notes. Depending on the significance of the amendment and the manner of disclosure to the registered holders, we may extend, pursuant to the terms of the registration rights agreement and the requirements of federal securities law, the exchange offer if the exchange offer would otherwise expire during such period.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Without limiting the manner in which we may choose to make public announcements of any extension, delay in acceptance, termination or amendment of the exchange offer, we have no obligation to publish, advertise or otherwise communicate any such public announcement, other than by making a timely release to an appropriate news agency.</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Notwithstanding any other provision of the exchange offer and subject to the terms of the registration rights agreement, we will not be required to accept for exchange, or to issue Exchange Notes in exchange for, any Original Notes and may terminate or amend the exchange offer, if at any time before the expiration time of the exchange offer any of the following events occur:</w:t>
      </w:r>
    </w:p>
    <w:p>
      <w:pPr>
        <w:spacing w:after="0" w:line="79" w:lineRule="exact"/>
        <w:rPr>
          <w:sz w:val="20"/>
          <w:szCs w:val="20"/>
          <w:color w:val="auto"/>
        </w:rPr>
      </w:pPr>
    </w:p>
    <w:p>
      <w:pPr>
        <w:ind w:left="1000" w:right="799" w:hanging="348"/>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injunction, order or decree has been issued by any court or any governmental agency that would prohibit, prevent or otherwise materially impair our ability to proceed with the exchange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exchange offer violates any applicable law or any applicable interpretation of the staff of the SEC.</w:t>
      </w:r>
    </w:p>
    <w:p>
      <w:pPr>
        <w:spacing w:after="0" w:line="129"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In addition, we will not be obligated to accept for exchange the Original Notes of any holder that has not made to us:</w:t>
      </w:r>
    </w:p>
    <w:p>
      <w:pPr>
        <w:spacing w:after="0" w:line="62"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representations described under “—Procedures for Tendering” and “Plan of Distribution;” and</w:t>
      </w:r>
    </w:p>
    <w:p>
      <w:pPr>
        <w:spacing w:after="0" w:line="117" w:lineRule="exact"/>
        <w:rPr>
          <w:rFonts w:ascii="Arial" w:cs="Arial" w:eastAsia="Arial" w:hAnsi="Arial"/>
          <w:sz w:val="18"/>
          <w:szCs w:val="18"/>
          <w:color w:val="auto"/>
        </w:rPr>
      </w:pPr>
    </w:p>
    <w:p>
      <w:pPr>
        <w:ind w:left="1000" w:right="5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representations as may be reasonably necessary under applicable SEC rules, regulations or interpretations to make available to us an appropriate form for registering the Exchange Notes under the Securities Act.</w:t>
      </w:r>
    </w:p>
    <w:p>
      <w:pPr>
        <w:spacing w:after="0" w:line="76"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We expressly reserve the right to amend or terminate the exchange offer notwithstanding the satisfaction of the foregoing, and to reject for exchange any Original Notes upon the occurrence of any of the conditions to the exchange offer specified above. We will give oral or written notice of any extension, non-acceptance, termination or amendment to the holders of the Original Notes as promptly as practicable.</w:t>
      </w:r>
    </w:p>
    <w:p>
      <w:pPr>
        <w:spacing w:after="0" w:line="63"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These conditions are for our sole benefit, and we may assert them or waive them in whole or in part at any time or at various times at our sole discretion. Our failure at any time to exercise any of these rights will not mean that we have waived our rights. Each right will be deemed an ongoing right that we may assert at any time or at various times. If we waive a condition, we may be required in order to comply with applicable securities laws, to extend the expiration time of the exchange offer.</w:t>
      </w:r>
    </w:p>
    <w:p>
      <w:pPr>
        <w:spacing w:after="0" w:line="80" w:lineRule="exact"/>
        <w:rPr>
          <w:sz w:val="20"/>
          <w:szCs w:val="20"/>
          <w:color w:val="auto"/>
        </w:rPr>
      </w:pPr>
    </w:p>
    <w:p>
      <w:pPr>
        <w:jc w:val="both"/>
        <w:ind w:left="300" w:right="359" w:firstLine="360"/>
        <w:spacing w:after="0" w:line="279" w:lineRule="auto"/>
        <w:rPr>
          <w:sz w:val="20"/>
          <w:szCs w:val="20"/>
          <w:color w:val="auto"/>
        </w:rPr>
      </w:pPr>
      <w:r>
        <w:rPr>
          <w:rFonts w:ascii="Arial" w:cs="Arial" w:eastAsia="Arial" w:hAnsi="Arial"/>
          <w:sz w:val="17"/>
          <w:szCs w:val="17"/>
          <w:color w:val="auto"/>
        </w:rPr>
        <w:t>In addition, we will not accept for exchange any Original Notes tendered, and will not issue Exchange Notes in exchange for any such Original Notes, if at such time any stop order has been threatened or is in effect with respect to the registration statement of which this prospectus constitutes a part or the qualification of the indentures relating to the Exchange Notes under the Trust Indenture Act of 1939.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Procedures for Tendering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to Tender Generally</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Only a holder of the Original Notes as determined by our records or those of Deutsche Bank Trust Company Americas, as trustee or DTC may tender Original Notes in the exchange offer. To tender in the exchange offer, a holder must either (1) comply with the procedures for physical tender or (2) comply with the automated tender offer program procedures of DTC, described below.</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complete a physical tender, a holder must:</w:t>
      </w:r>
    </w:p>
    <w:p>
      <w:pPr>
        <w:spacing w:after="0" w:line="117"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signature on the letter of transmittal guaranteed if the letter of transmittal so requires;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mail or deliver the letter of transmittal or facsimile to the exchange agent prior to the expiration time;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 the Original Notes to the exchange agent prior to the expiration time.</w:t>
      </w:r>
    </w:p>
    <w:p>
      <w:pPr>
        <w:spacing w:after="0" w:line="117"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its address provided above under “Prospectus Summary—The Exchange Agent” prior to the expiration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To complete a tender through DTC’s automated tender offer program, the exchange agent must receive, prior to the expiration time, a timely confirmation of book-entry transfer of such Original Notes into the exchange agent’s account at DTC according to the procedure for book-entry transfer described below or a properly transmitted agent’s message.</w:t>
      </w:r>
    </w:p>
    <w:p>
      <w:pPr>
        <w:spacing w:after="0" w:line="79"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tender by a holder that is not withdrawn prior to the expiration time and our acceptance of that tender will constitute an agreement between the holder and us in accordance with the terms and subject to the conditions described in this prospectus and in the letter of transmittal.</w:t>
      </w:r>
    </w:p>
    <w:p>
      <w:pPr>
        <w:spacing w:after="0" w:line="72"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b w:val="1"/>
          <w:bCs w:val="1"/>
          <w:color w:val="auto"/>
        </w:rPr>
        <w:t>THE METHOD OF DELIVERY OF ORIGINAL NOTES, THE LETTER OF TRANSMITTAL AND ALL OTHER REQUIRED DOCUMENTS TO THE EXCHANGE AGENT IS AT YOUR ELECTION AND RISK. RATHER THAN MAIL THESE ITEMS, WE RECOMMEND THAT YOU USE AN OVERNIGHT OR HAND DELIVERY SERVICE. IN ALL CASES, YOU SHOULD ALLOW SUFFICIENT TIME TO ENSURE DELIVERY TO THE EXCHANGE AGENT BEFORE THE EXPIRATION TIME. YOU SHOULD NOT SEND THE LETTER OF TRANSMITTAL OR ORIGINAL NOTES TO US. YOU MAY REQUEST YOUR BROKER, DEALER, COMMERCIAL BANK, TRUST COMPANY OR OTHER NOMINEE TO EFFECT THE ABOVE TRANSACTIONS FOR YOU.</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to Tender if You Are a Beneficial Owner</w:t>
      </w:r>
    </w:p>
    <w:p>
      <w:pPr>
        <w:spacing w:after="0" w:line="117"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those Original Notes, you should contact the registered holder as soon as possible and instruct the registered holder to tender on your behalf. If you are a beneficial owner and wish to tender on your own behalf, you must, prior to completing and executing the letter of transmittal and delivering your Original Notes, either:</w:t>
      </w:r>
    </w:p>
    <w:p>
      <w:pPr>
        <w:spacing w:after="0" w:line="80"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your Original Notes.</w:t>
      </w:r>
    </w:p>
    <w:p>
      <w:pPr>
        <w:spacing w:after="0" w:line="117"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Signatures and Signature Guarantees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must have signatures on a letter of transmittal or a notice of withdrawal described below under “—</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Withdrawal of Tenders” guaranteed by an eligible institution unless the Original Notes are tendered:</w:t>
      </w:r>
    </w:p>
    <w:p>
      <w:pPr>
        <w:spacing w:after="0" w:line="103" w:lineRule="exact"/>
        <w:rPr>
          <w:sz w:val="20"/>
          <w:szCs w:val="20"/>
          <w:color w:val="auto"/>
        </w:rPr>
      </w:pPr>
    </w:p>
    <w:p>
      <w:pPr>
        <w:ind w:left="1000" w:right="43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 “eligible institution” is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Exchange Act, that is a member of one of the recognized signature guarantee programs identified in the letter of transmittal.</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When Endorsements or Bond Powers Are Needed</w:t>
      </w:r>
    </w:p>
    <w:p>
      <w:pPr>
        <w:spacing w:after="0" w:line="117"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person other than the registered holder of any Original Notes signs the letter of transmittal, the Original Notes must be endorsed or accompanied by a properly completed bond power. The registered holder must sign the bond power as the registered holder’s name appears on the Original Notes. An eligible institution must guarantee that signature.</w:t>
      </w:r>
    </w:p>
    <w:p>
      <w:pPr>
        <w:spacing w:after="0" w:line="79"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If the letter of transmittal or any Original Notes or bond powers are signed by trustees, executors, administrators, guardians, attorneys-in-fact, or officers of corporations or others acting in a fiduciary or representative capacity, those persons should so indicate when signing. Unless we waive this requirement, they also must submit evidence satisfactory to us of their authority to deliver the letter of transmittal.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Tendering Through DTC’s Automated Tender Offer Program</w:t>
      </w:r>
    </w:p>
    <w:p>
      <w:pPr>
        <w:spacing w:after="0" w:line="117"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The exchange agent and DTC have confirmed that any financial institution that is a participant in DTC’s system may use DTC’s automated tender offer program to tender. Accordingly, participants in the program may,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w:t>
      </w:r>
    </w:p>
    <w:p>
      <w:pPr>
        <w:spacing w:after="0" w:line="7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An agent’s message is a message transmitted by DTC to and received by the exchange agent and forming part of the book-entry confirmation, stating that:</w:t>
      </w:r>
    </w:p>
    <w:p>
      <w:pPr>
        <w:spacing w:after="0" w:line="62" w:lineRule="exact"/>
        <w:rPr>
          <w:sz w:val="20"/>
          <w:szCs w:val="20"/>
          <w:color w:val="auto"/>
        </w:rPr>
      </w:pPr>
    </w:p>
    <w:p>
      <w:pPr>
        <w:ind w:left="1000" w:right="919" w:hanging="348"/>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DTC has received an express acknowledgment from a participant in DTC’s automated tender offer program that is tendering Original Notes that are the subject of such book-entry confirmation;</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participant has received and agrees to be bound by the terms of the letter of transmittal;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enforce the agreement against such participant.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Determinations Under the Exchange Offer</w:t>
      </w:r>
    </w:p>
    <w:p>
      <w:pPr>
        <w:spacing w:after="0" w:line="117"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We will determine at our sole discretion all questions as to the validity, form, eligibility, time of receipt, acceptance of tendered Original Notes and withdrawal of tendered Original Notes. Our determination will be final and binding. We reserve the absolute right to reject any Original Notes not properly tendered or any Original Notes our acceptance of which, in the opinion of our counsel, might be unlawful. Our interpretation of the terms and conditions of the exchange offer, including the instructions in the letter of transmittal, will be final and binding on all parties.</w:t>
      </w:r>
    </w:p>
    <w:p>
      <w:pPr>
        <w:spacing w:after="0" w:line="84"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Unless waived, any defects or irregularities in connection with tenders of Original Notes must be cured within such time as we determine. Neither we, the exchange agent nor any other person will be under any duty to give notification of defects or irregularities with respect to tenders of Original Notes, nor will we or those persons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time.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When We Will Issue Exchange Notes</w:t>
      </w:r>
    </w:p>
    <w:p>
      <w:pPr>
        <w:spacing w:after="0" w:line="117"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In all cases, we will issue Exchange Notes for Original Notes that we have accepted for exchange in the exchange offer only after the exchange agent timely receives:</w:t>
      </w:r>
    </w:p>
    <w:p>
      <w:pPr>
        <w:spacing w:after="0" w:line="62" w:lineRule="exact"/>
        <w:rPr>
          <w:sz w:val="20"/>
          <w:szCs w:val="20"/>
          <w:color w:val="auto"/>
        </w:rPr>
      </w:pPr>
    </w:p>
    <w:p>
      <w:pPr>
        <w:ind w:left="1000" w:right="53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Original Notes or a timely book-entry confirmation of transfer of such Original Notes into the exchange agent’s account at DTC;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and all other required documents or a properly transmitted agent’s message.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Return of Original Notes Not Accepted or Exchanged</w:t>
      </w:r>
    </w:p>
    <w:p>
      <w:pPr>
        <w:spacing w:after="0" w:line="117"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If we do not accept any tendered Original Notes for exchange for any reason described in the terms and conditions of the exchange offer or if Original Notes are submitted for a greater principal amount than the holder desires to exchange, we will return the unaccepted or non-exchanged Original Notes without expense to their tendering holder. In the case of Original Notes tendered by book-entry transfer into the exchange agent’s account at DTC according to the procedures described below, such non-exchanged Original Notes will be credited to an account maintained with DTC. These actions will occur as promptly as practicable after the expiration or termination of the exchange offer.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Your Representations to Us</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By signing or agreeing to be bound by the letter of transmittal, you will represent to us that, among other things:</w:t>
      </w:r>
    </w:p>
    <w:p>
      <w:pPr>
        <w:spacing w:after="0" w:line="62"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hold all right, title and interest in and to the Original Notes;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transfer all right, title and interest in the Original Notes to us in exchange for the Exchange Notes free and clear of all liens, encumbrances, or rights or interests of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Exchange Notes to be received by you will be acquired in the ordinary course of your business;</w:t>
      </w:r>
    </w:p>
    <w:p>
      <w:pPr>
        <w:spacing w:after="0" w:line="128" w:lineRule="exact"/>
        <w:rPr>
          <w:rFonts w:ascii="Arial" w:cs="Arial" w:eastAsia="Arial" w:hAnsi="Arial"/>
          <w:sz w:val="17"/>
          <w:szCs w:val="17"/>
          <w:color w:val="auto"/>
        </w:rPr>
      </w:pPr>
    </w:p>
    <w:p>
      <w:pPr>
        <w:ind w:left="1000" w:right="43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have no arrangement or understanding with any person to participate in a distribution (within the meaning of the Securities Act) of the Exchange Notes in violation of the provisions of the Securities Act;</w:t>
      </w:r>
    </w:p>
    <w:p>
      <w:pPr>
        <w:spacing w:after="0" w:line="15"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not an “affiliate” (as defined in Rule 405 under the Securities Act) of us or any guarantor, or if you are such an affiliate, you will comply with the registration and prospectus delivery requirements of the Securities Act to the extent applicable;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you are not engaged in, and do not intend to engage in, a distribution of the Exchange Notes; and</w:t>
      </w:r>
    </w:p>
    <w:p>
      <w:pPr>
        <w:spacing w:after="0" w:line="128" w:lineRule="exact"/>
        <w:rPr>
          <w:rFonts w:ascii="Arial" w:cs="Arial" w:eastAsia="Arial" w:hAnsi="Arial"/>
          <w:sz w:val="17"/>
          <w:szCs w:val="17"/>
          <w:color w:val="auto"/>
        </w:rPr>
      </w:pPr>
    </w:p>
    <w:p>
      <w:pPr>
        <w:ind w:left="1000" w:right="519" w:hanging="348"/>
        <w:spacing w:after="0" w:line="25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a Participating Broker-Dealer that will receive Exchange Notes for your own account in exchange for Original Notes acquired as a result of market-making or other trading activities, you will deliver a prospectus meeting the requirements of the Securities Act (or, to the extent permitted by law, make available a prospectus meeting the requirements of the Securities Act to purchasers) in connection with any resale of such Exchange Notes.</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Book-Entry Transfer</w:t>
      </w:r>
    </w:p>
    <w:p>
      <w:pPr>
        <w:spacing w:after="0" w:line="11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Resales</w:t>
      </w:r>
    </w:p>
    <w:p>
      <w:pPr>
        <w:spacing w:after="0" w:line="117" w:lineRule="exact"/>
        <w:rPr>
          <w:sz w:val="20"/>
          <w:szCs w:val="20"/>
          <w:color w:val="auto"/>
        </w:rPr>
      </w:pPr>
    </w:p>
    <w:p>
      <w:pPr>
        <w:ind w:left="300" w:right="499" w:firstLine="360"/>
        <w:spacing w:after="0" w:line="275" w:lineRule="auto"/>
        <w:rPr>
          <w:sz w:val="20"/>
          <w:szCs w:val="20"/>
          <w:color w:val="auto"/>
        </w:rPr>
      </w:pPr>
      <w:r>
        <w:rPr>
          <w:rFonts w:ascii="Arial" w:cs="Arial" w:eastAsia="Arial" w:hAnsi="Arial"/>
          <w:sz w:val="17"/>
          <w:szCs w:val="17"/>
          <w:color w:val="auto"/>
        </w:rPr>
        <w:t>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Withdrawal of Tenders</w:t>
      </w:r>
    </w:p>
    <w:p>
      <w:pPr>
        <w:spacing w:after="0" w:line="117"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Except as otherwise provided in this prospectus, you may withdraw your tender at any time prior to the expiration time. For a withdrawal to be effective:</w:t>
      </w:r>
    </w:p>
    <w:p>
      <w:pPr>
        <w:spacing w:after="0" w:line="62" w:lineRule="exact"/>
        <w:rPr>
          <w:sz w:val="20"/>
          <w:szCs w:val="20"/>
          <w:color w:val="auto"/>
        </w:rPr>
      </w:pPr>
    </w:p>
    <w:p>
      <w:pPr>
        <w:ind w:left="1000" w:right="4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exchange agent must receive a written notice of withdrawal at one of the addresses listed above under “Prospectus Summary—The Exchange Agent;” and</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withdrawing holder must comply with the appropriate procedures of DTC’s automated tender offer program.</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of withdrawal must:</w:t>
      </w:r>
    </w:p>
    <w:p>
      <w:pPr>
        <w:spacing w:after="0" w:line="117" w:lineRule="exact"/>
        <w:rPr>
          <w:sz w:val="20"/>
          <w:szCs w:val="20"/>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the name of the person who tendered the Original Notes to be withdrawn;</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registration number or numbers and the principal amount of such Original Notes;</w:t>
      </w:r>
    </w:p>
    <w:p>
      <w:pPr>
        <w:spacing w:after="0" w:line="62"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signed by the person who tendered the Original Notes in the same manner as the original signature on the letter of transmittal used to deposit those Original Notes or be accompanied by documents of transfer sufficient to permit the trustee to register the transfer in the name of the person withdrawing the tender;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the name in which such Original Notes are to be registered, if different from that of the person who tendered the Original Notes.</w:t>
      </w:r>
    </w:p>
    <w:p>
      <w:pPr>
        <w:spacing w:after="0" w:line="62"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If Original Notes have been tendered under the procedure for book-entry transfer described above, any notice of withdrawal must specify the name and number of the account at DTC to be credited with the withdrawn Original Notes and otherwise comply with the procedures of DTC.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will determine all questions as to the validity, form, eligibility and time of receipt of notice of withdrawal, and our determination shall be final and binding on all parties. We will deem any Original Notes so withdrawn not to have been validly tendered for exchange for purposes of the exchange offer.</w:t>
      </w:r>
    </w:p>
    <w:p>
      <w:pPr>
        <w:spacing w:after="0" w:line="76"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Any Original Notes that have been tendered for exchange but that are not exchanged for any reason will be returned to their holder without cost to the holder, or, in the case of Original Notes tendered by book-entry transfer into the exchange agent’s account at DTC according to the procedures described above, such Original Notes will be credited to an account maintained with DTC for the Original Notes. This return or crediting will take place as soon as practicable after withdrawal, rejection of tender or termination of the exchange offer. You may retender properly withdrawn Original Notes by following one of the procedures described above under “—Procedures for Tendering” at any time on or prior to the expiration time.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We will bear the expenses of soliciting tenders. We may make solicitation by mail, facsimile, email, telephone or in person by our officers and regular employees and those of our affiliates.</w:t>
      </w:r>
    </w:p>
    <w:p>
      <w:pPr>
        <w:spacing w:after="0" w:line="62" w:lineRule="exact"/>
        <w:rPr>
          <w:sz w:val="20"/>
          <w:szCs w:val="20"/>
          <w:color w:val="auto"/>
        </w:rPr>
      </w:pPr>
    </w:p>
    <w:p>
      <w:pPr>
        <w:ind w:left="300" w:right="439" w:firstLine="360"/>
        <w:spacing w:after="0" w:line="316" w:lineRule="auto"/>
        <w:rPr>
          <w:sz w:val="20"/>
          <w:szCs w:val="20"/>
          <w:color w:val="auto"/>
        </w:rPr>
      </w:pPr>
      <w:r>
        <w:rPr>
          <w:rFonts w:ascii="Arial" w:cs="Arial" w:eastAsia="Arial" w:hAnsi="Arial"/>
          <w:sz w:val="15"/>
          <w:szCs w:val="15"/>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 We may also pay brokerage houses and other custodians, nominees and fiduciaries the reasonable out-of-pocket expenses incurred by them in forwarding copies of this prospectus, letters of transmittal and related documents to the beneficial owners of the Original Notes and in handling or forwarding tenders for exchange.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pay cash expenses to be incurred in connection with the exchange offer. They include:</w:t>
      </w:r>
    </w:p>
    <w:p>
      <w:pPr>
        <w:spacing w:after="0" w:line="117"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registration fees for the Exchange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and expenses of the exchange agent and the trustee;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accounting and legal fees;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printing costs;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If you tender your Original Notes for exchange, you will not be required to pay any transfer taxes. We will pay all transfer taxes, if any, applicable to the exchange of Original Notes in the exchange offer. The tendering holder will, however, be required to pay any transfer taxes, whether imposed on the registered holder or any other person, if:</w:t>
      </w:r>
    </w:p>
    <w:p>
      <w:pPr>
        <w:spacing w:after="0" w:line="79" w:lineRule="exact"/>
        <w:rPr>
          <w:sz w:val="20"/>
          <w:szCs w:val="20"/>
          <w:color w:val="auto"/>
        </w:rPr>
      </w:pPr>
    </w:p>
    <w:p>
      <w:pPr>
        <w:jc w:val="both"/>
        <w:ind w:left="1000" w:right="35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certificates representing Exchange Notes or Original Notes for principal amounts not tendered or accepted for exchange are to be delivered to, or are to be issued in the name of, any person other than the registered holder of the Original Notes tendered;</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for Exchange Notes in the exchange offer.</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If satisfactory evidence of payment of any transfer taxes payable by a tendering holder is not submitted with the letter of transmittal, the amount of the transfer taxes will be billed directly to that tendering holder. The exchange agent will retain possession of Exchange Notes with a face amount equal to the amount of the transfer taxes due until it receives payment of the taxes.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We will record the Exchange Notes at the same carrying value as the Original Notes as reflected in our accounting records on the date of the exchange. Accordingly, we will not recognize any gain or loss for accounting purposes upon completion of the exchange offer.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If you do not exchange your Original Notes for Exchange Notes in the exchange offer, you will remain subject to the existing restrictions on transfer of the Original Notes. In general, you may not offer or sell the Original Notes unless either they are registered under the Securities Act or the offer or sale is exempt from or not subject to registration under the Securities Act and applicable state securities laws. Except as required by the registration rights agreement, we do not intend to register resales of the Original Notes under the Securities Act. We generally have no obligation to re-offer to exchange the Exchange Notes for Original Notes following the expiration of the exchange offer. The tender of Original Notes in the exchange offer will reduce the outstanding principal amount of the Original Notes. Due to the corresponding reduction in liquidity, this may have an adverse effect on, and increase the volatility of, the market price of any Original Notes that you continue to hold. See “Risk Factors—Risks Related to the Exchange Offer—If you do not exchange your Original Notes, your Original Notes will continue to be subject to the existing transfer restrictions and you may be unable to sell your outstanding Original Notes.”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Participation in the exchange offer is voluntary, and you should carefully consider whether to accept. You are urged to consult your financial and tax advisors in making your decision on what action to take.</w:t>
      </w:r>
    </w:p>
    <w:p>
      <w:pPr>
        <w:spacing w:after="0" w:line="38" w:lineRule="exact"/>
        <w:rPr>
          <w:sz w:val="20"/>
          <w:szCs w:val="20"/>
          <w:color w:val="auto"/>
        </w:rPr>
      </w:pPr>
    </w:p>
    <w:p>
      <w:pPr>
        <w:jc w:val="both"/>
        <w:ind w:left="300" w:right="459" w:firstLine="360"/>
        <w:spacing w:after="0" w:line="279" w:lineRule="auto"/>
        <w:rPr>
          <w:sz w:val="20"/>
          <w:szCs w:val="20"/>
          <w:color w:val="auto"/>
        </w:rPr>
      </w:pPr>
      <w:r>
        <w:rPr>
          <w:rFonts w:ascii="Arial" w:cs="Arial" w:eastAsia="Arial" w:hAnsi="Arial"/>
          <w:sz w:val="17"/>
          <w:szCs w:val="17"/>
          <w:color w:val="auto"/>
        </w:rPr>
        <w:t>In the future, we may at our discretion seek to acquire untendered Original Notes in open market or privately negotiated transactions, through subsequent exchange offers or otherwise. We have no present plan to acquire any Original Notes that are not tendered in the exchange offer or to file a registration statement to permit resales of any untendered Original Notes, except as required by the registration rights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T-Mobile USA, Inc., a Delaware corporation (the “</w:t>
      </w:r>
      <w:r>
        <w:rPr>
          <w:rFonts w:ascii="Arial" w:cs="Arial" w:eastAsia="Arial" w:hAnsi="Arial"/>
          <w:sz w:val="17"/>
          <w:szCs w:val="17"/>
          <w:i w:val="1"/>
          <w:iCs w:val="1"/>
          <w:color w:val="auto"/>
        </w:rPr>
        <w:t>Issuer</w:t>
      </w:r>
      <w:r>
        <w:rPr>
          <w:rFonts w:ascii="Arial" w:cs="Arial" w:eastAsia="Arial" w:hAnsi="Arial"/>
          <w:sz w:val="17"/>
          <w:szCs w:val="17"/>
          <w:color w:val="auto"/>
        </w:rPr>
        <w:t>”), is offering to exchange, upon the terms and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conditions set forth in this prospectus and the accompanying letter of transmittal, up to $3,000,000,000 in aggregate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principal amount of 3.500% Senior Secured Notes due 2025 (the “</w:t>
      </w:r>
      <w:r>
        <w:rPr>
          <w:rFonts w:ascii="Arial" w:cs="Arial" w:eastAsia="Arial" w:hAnsi="Arial"/>
          <w:sz w:val="17"/>
          <w:szCs w:val="17"/>
          <w:i w:val="1"/>
          <w:iCs w:val="1"/>
          <w:color w:val="auto"/>
        </w:rPr>
        <w:t>2025 Exchange Notes</w:t>
      </w:r>
      <w:r>
        <w:rPr>
          <w:rFonts w:ascii="Arial" w:cs="Arial" w:eastAsia="Arial" w:hAnsi="Arial"/>
          <w:sz w:val="17"/>
          <w:szCs w:val="17"/>
          <w:color w:val="auto"/>
        </w:rPr>
        <w:t>”), $1,000,000,000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aggregate principal amount of 1.500% Senior Secured Notes due 2026 (the “</w:t>
      </w:r>
      <w:r>
        <w:rPr>
          <w:rFonts w:ascii="Arial" w:cs="Arial" w:eastAsia="Arial" w:hAnsi="Arial"/>
          <w:sz w:val="18"/>
          <w:szCs w:val="18"/>
          <w:i w:val="1"/>
          <w:iCs w:val="1"/>
          <w:color w:val="auto"/>
        </w:rPr>
        <w:t>2026 Exchange Notes</w:t>
      </w:r>
      <w:r>
        <w:rPr>
          <w:rFonts w:ascii="Arial" w:cs="Arial" w:eastAsia="Arial" w:hAnsi="Arial"/>
          <w:sz w:val="18"/>
          <w:szCs w:val="18"/>
          <w:color w:val="auto"/>
        </w:rPr>
        <w: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$4,000,000,000 in aggregate principal amount of 3.750% Senior Secured Notes due 2027 (the “</w:t>
      </w:r>
      <w:r>
        <w:rPr>
          <w:rFonts w:ascii="Arial" w:cs="Arial" w:eastAsia="Arial" w:hAnsi="Arial"/>
          <w:sz w:val="17"/>
          <w:szCs w:val="17"/>
          <w:i w:val="1"/>
          <w:iCs w:val="1"/>
          <w:color w:val="auto"/>
        </w:rPr>
        <w:t>2027 Exchange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$1,750,000,000 in aggregate principal amount of 2.050% Senior Secured Notes due 2028 (the “</w:t>
      </w:r>
      <w:r>
        <w:rPr>
          <w:rFonts w:ascii="Arial" w:cs="Arial" w:eastAsia="Arial" w:hAnsi="Arial"/>
          <w:sz w:val="17"/>
          <w:szCs w:val="17"/>
          <w:i w:val="1"/>
          <w:iCs w:val="1"/>
          <w:color w:val="auto"/>
        </w:rPr>
        <w:t>2028</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Exchange Notes</w:t>
      </w:r>
      <w:r>
        <w:rPr>
          <w:rFonts w:ascii="Arial" w:cs="Arial" w:eastAsia="Arial" w:hAnsi="Arial"/>
          <w:sz w:val="16"/>
          <w:szCs w:val="16"/>
          <w:color w:val="auto"/>
        </w:rPr>
        <w:t>”), $7,000,000,000 in aggregate principal amount of 3.875% Senior Secured Notes due 2030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2030 Exchange Notes</w:t>
      </w:r>
      <w:r>
        <w:rPr>
          <w:rFonts w:ascii="Arial" w:cs="Arial" w:eastAsia="Arial" w:hAnsi="Arial"/>
          <w:sz w:val="16"/>
          <w:szCs w:val="16"/>
          <w:color w:val="auto"/>
        </w:rPr>
        <w:t>”), $2,500,000,000 in aggregate principal amount of 2.550% Senior Secured Notes due 2031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February 2031 Exchange Notes</w:t>
      </w:r>
      <w:r>
        <w:rPr>
          <w:rFonts w:ascii="Arial" w:cs="Arial" w:eastAsia="Arial" w:hAnsi="Arial"/>
          <w:sz w:val="16"/>
          <w:szCs w:val="16"/>
          <w:color w:val="auto"/>
        </w:rPr>
        <w:t>”), $1,000,000,000 in aggregate principal amount of 2.250% Senior 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due 2031 (the “</w:t>
      </w:r>
      <w:r>
        <w:rPr>
          <w:rFonts w:ascii="Arial" w:cs="Arial" w:eastAsia="Arial" w:hAnsi="Arial"/>
          <w:sz w:val="16"/>
          <w:szCs w:val="16"/>
          <w:i w:val="1"/>
          <w:iCs w:val="1"/>
          <w:color w:val="auto"/>
        </w:rPr>
        <w:t>November 2031 Exchange Notes</w:t>
      </w:r>
      <w:r>
        <w:rPr>
          <w:rFonts w:ascii="Arial" w:cs="Arial" w:eastAsia="Arial" w:hAnsi="Arial"/>
          <w:sz w:val="16"/>
          <w:szCs w:val="16"/>
          <w:color w:val="auto"/>
        </w:rPr>
        <w:t>”), $2,000,000,000 in aggregate principal amount of 4.375%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Secured Notes due 2040 (the “</w:t>
      </w:r>
      <w:r>
        <w:rPr>
          <w:rFonts w:ascii="Arial" w:cs="Arial" w:eastAsia="Arial" w:hAnsi="Arial"/>
          <w:sz w:val="16"/>
          <w:szCs w:val="16"/>
          <w:i w:val="1"/>
          <w:iCs w:val="1"/>
          <w:color w:val="auto"/>
        </w:rPr>
        <w:t>2040 Exchange Notes</w:t>
      </w:r>
      <w:r>
        <w:rPr>
          <w:rFonts w:ascii="Arial" w:cs="Arial" w:eastAsia="Arial" w:hAnsi="Arial"/>
          <w:sz w:val="16"/>
          <w:szCs w:val="16"/>
          <w:color w:val="auto"/>
        </w:rPr>
        <w:t>”), $2,500,000,000 in aggregate principal amount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3.000% Senior Secured Notes due 2041 (the “</w:t>
      </w:r>
      <w:r>
        <w:rPr>
          <w:rFonts w:ascii="Arial" w:cs="Arial" w:eastAsia="Arial" w:hAnsi="Arial"/>
          <w:sz w:val="17"/>
          <w:szCs w:val="17"/>
          <w:i w:val="1"/>
          <w:iCs w:val="1"/>
          <w:color w:val="auto"/>
        </w:rPr>
        <w:t>2041 Exchange Notes</w:t>
      </w:r>
      <w:r>
        <w:rPr>
          <w:rFonts w:ascii="Arial" w:cs="Arial" w:eastAsia="Arial" w:hAnsi="Arial"/>
          <w:sz w:val="17"/>
          <w:szCs w:val="17"/>
          <w:color w:val="auto"/>
        </w:rPr>
        <w:t>”), $3,000,000,000 in aggregate principal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amount of 4.500% Senior Secured Notes due 2050 (the “</w:t>
      </w:r>
      <w:r>
        <w:rPr>
          <w:rFonts w:ascii="Arial" w:cs="Arial" w:eastAsia="Arial" w:hAnsi="Arial"/>
          <w:sz w:val="17"/>
          <w:szCs w:val="17"/>
          <w:i w:val="1"/>
          <w:iCs w:val="1"/>
          <w:color w:val="auto"/>
        </w:rPr>
        <w:t>2050 Exchange Notes</w:t>
      </w:r>
      <w:r>
        <w:rPr>
          <w:rFonts w:ascii="Arial" w:cs="Arial" w:eastAsia="Arial" w:hAnsi="Arial"/>
          <w:sz w:val="17"/>
          <w:szCs w:val="17"/>
          <w:color w:val="auto"/>
        </w:rPr>
        <w:t>”), $3,000,000,000 in aggregate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principal amount of 3.300% Senior Secured Notes due 2051 (the “</w:t>
      </w:r>
      <w:r>
        <w:rPr>
          <w:rFonts w:ascii="Arial" w:cs="Arial" w:eastAsia="Arial" w:hAnsi="Arial"/>
          <w:sz w:val="16"/>
          <w:szCs w:val="16"/>
          <w:i w:val="1"/>
          <w:iCs w:val="1"/>
          <w:color w:val="auto"/>
        </w:rPr>
        <w:t>2051 Exchange Notes</w:t>
      </w:r>
      <w:r>
        <w:rPr>
          <w:rFonts w:ascii="Arial" w:cs="Arial" w:eastAsia="Arial" w:hAnsi="Arial"/>
          <w:sz w:val="16"/>
          <w:szCs w:val="16"/>
          <w:color w:val="auto"/>
        </w:rPr>
        <w:t>”) and $1,000,000,000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principal amount of 3.600% Senior Secured Notes due 2060 (the “</w:t>
      </w:r>
      <w:r>
        <w:rPr>
          <w:rFonts w:ascii="Arial" w:cs="Arial" w:eastAsia="Arial" w:hAnsi="Arial"/>
          <w:sz w:val="16"/>
          <w:szCs w:val="16"/>
          <w:i w:val="1"/>
          <w:iCs w:val="1"/>
          <w:color w:val="auto"/>
        </w:rPr>
        <w:t>2060 Exchange Notes</w:t>
      </w:r>
      <w:r>
        <w:rPr>
          <w:rFonts w:ascii="Arial" w:cs="Arial" w:eastAsia="Arial" w:hAnsi="Arial"/>
          <w:sz w:val="16"/>
          <w:szCs w:val="16"/>
          <w:color w:val="auto"/>
        </w:rPr>
        <w:t>” and, together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the 2025 Exchange Notes, the 2026 Exchange Notes, the 2027 Exchange Notes, the 2028 Exchange Notes,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2030 Exchange Notes, the February 2031 Exchange Notes, the November 2031 Exchange Notes, the 2040 Exchange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the 2041 Exchange Notes, the 2050 Exchange Notes and the 2051 Exchange Notes, the “</w:t>
      </w:r>
      <w:r>
        <w:rPr>
          <w:rFonts w:ascii="Arial" w:cs="Arial" w:eastAsia="Arial" w:hAnsi="Arial"/>
          <w:sz w:val="16"/>
          <w:szCs w:val="16"/>
          <w:i w:val="1"/>
          <w:iCs w:val="1"/>
          <w:color w:val="auto"/>
        </w:rPr>
        <w:t>Exchange Notes</w:t>
      </w:r>
      <w:r>
        <w:rPr>
          <w:rFonts w:ascii="Arial" w:cs="Arial" w:eastAsia="Arial" w:hAnsi="Arial"/>
          <w:sz w:val="16"/>
          <w:szCs w:val="16"/>
          <w:color w:val="auto"/>
        </w:rPr>
        <w: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in each case, an equal amount of its outstanding 3.500% Senior Secured Notes due 2025 (the “</w:t>
      </w:r>
      <w:r>
        <w:rPr>
          <w:rFonts w:ascii="Arial" w:cs="Arial" w:eastAsia="Arial" w:hAnsi="Arial"/>
          <w:sz w:val="16"/>
          <w:szCs w:val="16"/>
          <w:i w:val="1"/>
          <w:iCs w:val="1"/>
          <w:color w:val="auto"/>
        </w:rPr>
        <w:t>2025 Original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Notes</w:t>
      </w:r>
      <w:r>
        <w:rPr>
          <w:rFonts w:ascii="Arial" w:cs="Arial" w:eastAsia="Arial" w:hAnsi="Arial"/>
          <w:sz w:val="16"/>
          <w:szCs w:val="16"/>
          <w:color w:val="auto"/>
        </w:rPr>
        <w:t>” and collectively with the 2025 Exchange Notes, the “</w:t>
      </w:r>
      <w:r>
        <w:rPr>
          <w:rFonts w:ascii="Arial" w:cs="Arial" w:eastAsia="Arial" w:hAnsi="Arial"/>
          <w:sz w:val="16"/>
          <w:szCs w:val="16"/>
          <w:i w:val="1"/>
          <w:iCs w:val="1"/>
          <w:color w:val="auto"/>
        </w:rPr>
        <w:t>2025 Notes</w:t>
      </w:r>
      <w:r>
        <w:rPr>
          <w:rFonts w:ascii="Arial" w:cs="Arial" w:eastAsia="Arial" w:hAnsi="Arial"/>
          <w:sz w:val="16"/>
          <w:szCs w:val="16"/>
          <w:color w:val="auto"/>
        </w:rPr>
        <w:t>”), 1.500% Senior Secured Notes due 2026</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2026 Original Notes</w:t>
      </w:r>
      <w:r>
        <w:rPr>
          <w:rFonts w:ascii="Arial" w:cs="Arial" w:eastAsia="Arial" w:hAnsi="Arial"/>
          <w:sz w:val="17"/>
          <w:szCs w:val="17"/>
          <w:color w:val="auto"/>
        </w:rPr>
        <w:t>” and collectively with the 2026 Exchange Notes, the “</w:t>
      </w:r>
      <w:r>
        <w:rPr>
          <w:rFonts w:ascii="Arial" w:cs="Arial" w:eastAsia="Arial" w:hAnsi="Arial"/>
          <w:sz w:val="17"/>
          <w:szCs w:val="17"/>
          <w:i w:val="1"/>
          <w:iCs w:val="1"/>
          <w:color w:val="auto"/>
        </w:rPr>
        <w:t>2026 Notes</w:t>
      </w:r>
      <w:r>
        <w:rPr>
          <w:rFonts w:ascii="Arial" w:cs="Arial" w:eastAsia="Arial" w:hAnsi="Arial"/>
          <w:sz w:val="17"/>
          <w:szCs w:val="17"/>
          <w:color w:val="auto"/>
        </w:rPr>
        <w:t>”), 3.750% Senior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Secured Notes due 2027 (the “</w:t>
      </w:r>
      <w:r>
        <w:rPr>
          <w:rFonts w:ascii="Arial" w:cs="Arial" w:eastAsia="Arial" w:hAnsi="Arial"/>
          <w:sz w:val="17"/>
          <w:szCs w:val="17"/>
          <w:i w:val="1"/>
          <w:iCs w:val="1"/>
          <w:color w:val="auto"/>
        </w:rPr>
        <w:t>2027 Original Notes</w:t>
      </w:r>
      <w:r>
        <w:rPr>
          <w:rFonts w:ascii="Arial" w:cs="Arial" w:eastAsia="Arial" w:hAnsi="Arial"/>
          <w:sz w:val="17"/>
          <w:szCs w:val="17"/>
          <w:color w:val="auto"/>
        </w:rPr>
        <w:t>” and collectively with the 2027 Exchange Notes, the “</w:t>
      </w:r>
      <w:r>
        <w:rPr>
          <w:rFonts w:ascii="Arial" w:cs="Arial" w:eastAsia="Arial" w:hAnsi="Arial"/>
          <w:sz w:val="17"/>
          <w:szCs w:val="17"/>
          <w:i w:val="1"/>
          <w:iCs w:val="1"/>
          <w:color w:val="auto"/>
        </w:rPr>
        <w:t>2027</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2.050% Senior Secured Notes due 2028 (the “</w:t>
      </w:r>
      <w:r>
        <w:rPr>
          <w:rFonts w:ascii="Arial" w:cs="Arial" w:eastAsia="Arial" w:hAnsi="Arial"/>
          <w:sz w:val="17"/>
          <w:szCs w:val="17"/>
          <w:i w:val="1"/>
          <w:iCs w:val="1"/>
          <w:color w:val="auto"/>
        </w:rPr>
        <w:t>2028 Original Notes</w:t>
      </w:r>
      <w:r>
        <w:rPr>
          <w:rFonts w:ascii="Arial" w:cs="Arial" w:eastAsia="Arial" w:hAnsi="Arial"/>
          <w:sz w:val="17"/>
          <w:szCs w:val="17"/>
          <w:color w:val="auto"/>
        </w:rPr>
        <w:t>” and collectively with the 2028</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Exchange Notes, the “</w:t>
      </w:r>
      <w:r>
        <w:rPr>
          <w:rFonts w:ascii="Arial" w:cs="Arial" w:eastAsia="Arial" w:hAnsi="Arial"/>
          <w:sz w:val="17"/>
          <w:szCs w:val="17"/>
          <w:i w:val="1"/>
          <w:iCs w:val="1"/>
          <w:color w:val="auto"/>
        </w:rPr>
        <w:t>2028 Notes</w:t>
      </w:r>
      <w:r>
        <w:rPr>
          <w:rFonts w:ascii="Arial" w:cs="Arial" w:eastAsia="Arial" w:hAnsi="Arial"/>
          <w:sz w:val="17"/>
          <w:szCs w:val="17"/>
          <w:color w:val="auto"/>
        </w:rPr>
        <w:t>”), 3.875% Senior Secured Notes due 2030 (the “</w:t>
      </w:r>
      <w:r>
        <w:rPr>
          <w:rFonts w:ascii="Arial" w:cs="Arial" w:eastAsia="Arial" w:hAnsi="Arial"/>
          <w:sz w:val="17"/>
          <w:szCs w:val="17"/>
          <w:i w:val="1"/>
          <w:iCs w:val="1"/>
          <w:color w:val="auto"/>
        </w:rPr>
        <w:t>2030 Original Notes</w:t>
      </w:r>
      <w:r>
        <w:rPr>
          <w:rFonts w:ascii="Arial" w:cs="Arial" w:eastAsia="Arial" w:hAnsi="Arial"/>
          <w:sz w:val="17"/>
          <w:szCs w:val="17"/>
          <w:color w:val="auto"/>
        </w:rPr>
        <w:t>”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collectively with the 2030 Exchange Notes, the “</w:t>
      </w:r>
      <w:r>
        <w:rPr>
          <w:rFonts w:ascii="Arial" w:cs="Arial" w:eastAsia="Arial" w:hAnsi="Arial"/>
          <w:sz w:val="17"/>
          <w:szCs w:val="17"/>
          <w:i w:val="1"/>
          <w:iCs w:val="1"/>
          <w:color w:val="auto"/>
        </w:rPr>
        <w:t>2030 Notes</w:t>
      </w:r>
      <w:r>
        <w:rPr>
          <w:rFonts w:ascii="Arial" w:cs="Arial" w:eastAsia="Arial" w:hAnsi="Arial"/>
          <w:sz w:val="17"/>
          <w:szCs w:val="17"/>
          <w:color w:val="auto"/>
        </w:rPr>
        <w:t>”), 2.550% Senior Secured Notes due 2031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February 2031 Original Notes</w:t>
      </w:r>
      <w:r>
        <w:rPr>
          <w:rFonts w:ascii="Arial" w:cs="Arial" w:eastAsia="Arial" w:hAnsi="Arial"/>
          <w:sz w:val="17"/>
          <w:szCs w:val="17"/>
          <w:color w:val="auto"/>
        </w:rPr>
        <w:t>” and collectively with the February 2031 Exchange Notes, the “</w:t>
      </w:r>
      <w:r>
        <w:rPr>
          <w:rFonts w:ascii="Arial" w:cs="Arial" w:eastAsia="Arial" w:hAnsi="Arial"/>
          <w:sz w:val="17"/>
          <w:szCs w:val="17"/>
          <w:i w:val="1"/>
          <w:iCs w:val="1"/>
          <w:color w:val="auto"/>
        </w:rPr>
        <w:t>February 2031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2.250% Senior Secured Notes due 2031 (the “November 2031 Original Notes” and collectively with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November 2031 Exchange Notes, the “</w:t>
      </w:r>
      <w:r>
        <w:rPr>
          <w:rFonts w:ascii="Arial" w:cs="Arial" w:eastAsia="Arial" w:hAnsi="Arial"/>
          <w:sz w:val="16"/>
          <w:szCs w:val="16"/>
          <w:i w:val="1"/>
          <w:iCs w:val="1"/>
          <w:color w:val="auto"/>
        </w:rPr>
        <w:t>November 2031 Notes</w:t>
      </w:r>
      <w:r>
        <w:rPr>
          <w:rFonts w:ascii="Arial" w:cs="Arial" w:eastAsia="Arial" w:hAnsi="Arial"/>
          <w:sz w:val="16"/>
          <w:szCs w:val="16"/>
          <w:color w:val="auto"/>
        </w:rPr>
        <w:t>”), 4.375% Senior Secured Notes due 2040 (the “</w:t>
      </w:r>
      <w:r>
        <w:rPr>
          <w:rFonts w:ascii="Arial" w:cs="Arial" w:eastAsia="Arial" w:hAnsi="Arial"/>
          <w:sz w:val="16"/>
          <w:szCs w:val="16"/>
          <w:i w:val="1"/>
          <w:iCs w:val="1"/>
          <w:color w:val="auto"/>
        </w:rPr>
        <w:t>2040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Original Notes</w:t>
      </w:r>
      <w:r>
        <w:rPr>
          <w:rFonts w:ascii="Arial" w:cs="Arial" w:eastAsia="Arial" w:hAnsi="Arial"/>
          <w:sz w:val="16"/>
          <w:szCs w:val="16"/>
          <w:color w:val="auto"/>
        </w:rPr>
        <w:t>” and collectively with the 2040 Exchange Notes, the “</w:t>
      </w:r>
      <w:r>
        <w:rPr>
          <w:rFonts w:ascii="Arial" w:cs="Arial" w:eastAsia="Arial" w:hAnsi="Arial"/>
          <w:sz w:val="16"/>
          <w:szCs w:val="16"/>
          <w:i w:val="1"/>
          <w:iCs w:val="1"/>
          <w:color w:val="auto"/>
        </w:rPr>
        <w:t>2040 Notes</w:t>
      </w:r>
      <w:r>
        <w:rPr>
          <w:rFonts w:ascii="Arial" w:cs="Arial" w:eastAsia="Arial" w:hAnsi="Arial"/>
          <w:sz w:val="16"/>
          <w:szCs w:val="16"/>
          <w:color w:val="auto"/>
        </w:rPr>
        <w:t>”), 3.000% Senior Secured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due 2041 (the “</w:t>
      </w:r>
      <w:r>
        <w:rPr>
          <w:rFonts w:ascii="Arial" w:cs="Arial" w:eastAsia="Arial" w:hAnsi="Arial"/>
          <w:sz w:val="17"/>
          <w:szCs w:val="17"/>
          <w:i w:val="1"/>
          <w:iCs w:val="1"/>
          <w:color w:val="auto"/>
        </w:rPr>
        <w:t>2041 Original Notes</w:t>
      </w:r>
      <w:r>
        <w:rPr>
          <w:rFonts w:ascii="Arial" w:cs="Arial" w:eastAsia="Arial" w:hAnsi="Arial"/>
          <w:sz w:val="17"/>
          <w:szCs w:val="17"/>
          <w:color w:val="auto"/>
        </w:rPr>
        <w:t>” and collectively with the 2041 Exchange Notes, the “</w:t>
      </w:r>
      <w:r>
        <w:rPr>
          <w:rFonts w:ascii="Arial" w:cs="Arial" w:eastAsia="Arial" w:hAnsi="Arial"/>
          <w:sz w:val="17"/>
          <w:szCs w:val="17"/>
          <w:i w:val="1"/>
          <w:iCs w:val="1"/>
          <w:color w:val="auto"/>
        </w:rPr>
        <w:t>2041 Notes</w:t>
      </w:r>
      <w:r>
        <w:rPr>
          <w:rFonts w:ascii="Arial" w:cs="Arial" w:eastAsia="Arial" w:hAnsi="Arial"/>
          <w:sz w:val="17"/>
          <w:szCs w:val="17"/>
          <w:color w:val="auto"/>
        </w:rPr>
        <w:t>”), 4.500%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Senior Secured Notes due 2050 (the “</w:t>
      </w:r>
      <w:r>
        <w:rPr>
          <w:rFonts w:ascii="Arial" w:cs="Arial" w:eastAsia="Arial" w:hAnsi="Arial"/>
          <w:sz w:val="17"/>
          <w:szCs w:val="17"/>
          <w:i w:val="1"/>
          <w:iCs w:val="1"/>
          <w:color w:val="auto"/>
        </w:rPr>
        <w:t>2050 Original Notes</w:t>
      </w:r>
      <w:r>
        <w:rPr>
          <w:rFonts w:ascii="Arial" w:cs="Arial" w:eastAsia="Arial" w:hAnsi="Arial"/>
          <w:sz w:val="17"/>
          <w:szCs w:val="17"/>
          <w:color w:val="auto"/>
        </w:rPr>
        <w:t>” and collectively with the 2050 Exchange Notes,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2050 Notes</w:t>
      </w:r>
      <w:r>
        <w:rPr>
          <w:rFonts w:ascii="Arial" w:cs="Arial" w:eastAsia="Arial" w:hAnsi="Arial"/>
          <w:sz w:val="16"/>
          <w:szCs w:val="16"/>
          <w:color w:val="auto"/>
        </w:rPr>
        <w:t>”), 3.300% Senior Secured Notes due 2051 (the “</w:t>
      </w:r>
      <w:r>
        <w:rPr>
          <w:rFonts w:ascii="Arial" w:cs="Arial" w:eastAsia="Arial" w:hAnsi="Arial"/>
          <w:sz w:val="16"/>
          <w:szCs w:val="16"/>
          <w:i w:val="1"/>
          <w:iCs w:val="1"/>
          <w:color w:val="auto"/>
        </w:rPr>
        <w:t>2051 Original Notes</w:t>
      </w:r>
      <w:r>
        <w:rPr>
          <w:rFonts w:ascii="Arial" w:cs="Arial" w:eastAsia="Arial" w:hAnsi="Arial"/>
          <w:sz w:val="16"/>
          <w:szCs w:val="16"/>
          <w:color w:val="auto"/>
        </w:rPr>
        <w:t>” and collectively with the 2051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Exchange Notes, the “</w:t>
      </w:r>
      <w:r>
        <w:rPr>
          <w:rFonts w:ascii="Arial" w:cs="Arial" w:eastAsia="Arial" w:hAnsi="Arial"/>
          <w:sz w:val="16"/>
          <w:szCs w:val="16"/>
          <w:i w:val="1"/>
          <w:iCs w:val="1"/>
          <w:color w:val="auto"/>
        </w:rPr>
        <w:t>2051 Notes</w:t>
      </w:r>
      <w:r>
        <w:rPr>
          <w:rFonts w:ascii="Arial" w:cs="Arial" w:eastAsia="Arial" w:hAnsi="Arial"/>
          <w:sz w:val="16"/>
          <w:szCs w:val="16"/>
          <w:color w:val="auto"/>
        </w:rPr>
        <w:t>”) and 3.600% Senior Secured Notes due 2060 (the “</w:t>
      </w:r>
      <w:r>
        <w:rPr>
          <w:rFonts w:ascii="Arial" w:cs="Arial" w:eastAsia="Arial" w:hAnsi="Arial"/>
          <w:sz w:val="16"/>
          <w:szCs w:val="16"/>
          <w:i w:val="1"/>
          <w:iCs w:val="1"/>
          <w:color w:val="auto"/>
        </w:rPr>
        <w:t>2060 Original Notes</w:t>
      </w:r>
      <w:r>
        <w:rPr>
          <w:rFonts w:ascii="Arial" w:cs="Arial" w:eastAsia="Arial" w:hAnsi="Arial"/>
          <w:sz w:val="16"/>
          <w:szCs w:val="16"/>
          <w:color w:val="auto"/>
        </w:rPr>
        <w:t>”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collectively with the 2060 Exchange Notes, the “</w:t>
      </w:r>
      <w:r>
        <w:rPr>
          <w:rFonts w:ascii="Arial" w:cs="Arial" w:eastAsia="Arial" w:hAnsi="Arial"/>
          <w:sz w:val="16"/>
          <w:szCs w:val="16"/>
          <w:i w:val="1"/>
          <w:iCs w:val="1"/>
          <w:color w:val="auto"/>
        </w:rPr>
        <w:t>2060 Notes</w:t>
      </w:r>
      <w:r>
        <w:rPr>
          <w:rFonts w:ascii="Arial" w:cs="Arial" w:eastAsia="Arial" w:hAnsi="Arial"/>
          <w:sz w:val="16"/>
          <w:szCs w:val="16"/>
          <w:color w:val="auto"/>
        </w:rPr>
        <w:t>” and the 2060 Original Notes together with the 2025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Original Notes, the 2026 Original Notes, the 2027 Original Notes, the 2028 Original Notes, the 2030 Original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February 2031 Original Notes, the November 2031 Original Notes, the 2040 Original Notes, the 2041 Original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the 2050 Original Notes and the 2051 Original Notes, the “</w:t>
      </w:r>
      <w:r>
        <w:rPr>
          <w:rFonts w:ascii="Arial" w:cs="Arial" w:eastAsia="Arial" w:hAnsi="Arial"/>
          <w:sz w:val="18"/>
          <w:szCs w:val="18"/>
          <w:i w:val="1"/>
          <w:iCs w:val="1"/>
          <w:color w:val="auto"/>
        </w:rPr>
        <w:t>Original Notes</w:t>
      </w:r>
      <w:r>
        <w:rPr>
          <w:rFonts w:ascii="Arial" w:cs="Arial" w:eastAsia="Arial" w:hAnsi="Arial"/>
          <w:sz w:val="18"/>
          <w:szCs w:val="18"/>
          <w:color w:val="auto"/>
        </w:rPr>
        <w:t>” and collectively with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Notes,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03"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The Original Notes were issued, and the Exchange Notes will be issued, under a base indenture (the “</w:t>
      </w:r>
      <w:r>
        <w:rPr>
          <w:rFonts w:ascii="Arial" w:cs="Arial" w:eastAsia="Arial" w:hAnsi="Arial"/>
          <w:sz w:val="16"/>
          <w:szCs w:val="16"/>
          <w:i w:val="1"/>
          <w:iCs w:val="1"/>
          <w:color w:val="auto"/>
        </w:rPr>
        <w:t>Base</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dated as of April 9, 2020, among the Issuer, T-Mobile US, Inc., a Delaware corporation and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company of the Issuer (“</w:t>
      </w:r>
      <w:r>
        <w:rPr>
          <w:rFonts w:ascii="Arial" w:cs="Arial" w:eastAsia="Arial" w:hAnsi="Arial"/>
          <w:sz w:val="16"/>
          <w:szCs w:val="16"/>
          <w:i w:val="1"/>
          <w:iCs w:val="1"/>
          <w:color w:val="auto"/>
        </w:rPr>
        <w:t>Parent</w:t>
      </w:r>
      <w:r>
        <w:rPr>
          <w:rFonts w:ascii="Arial" w:cs="Arial" w:eastAsia="Arial" w:hAnsi="Arial"/>
          <w:sz w:val="16"/>
          <w:szCs w:val="16"/>
          <w:color w:val="auto"/>
        </w:rPr>
        <w:t>”) and Deutsche Bank Trust Company Americas, as trustee (together with its successors and assigns, the “</w:t>
      </w:r>
      <w:r>
        <w:rPr>
          <w:rFonts w:ascii="Arial" w:cs="Arial" w:eastAsia="Arial" w:hAnsi="Arial"/>
          <w:sz w:val="16"/>
          <w:szCs w:val="16"/>
          <w:i w:val="1"/>
          <w:iCs w:val="1"/>
          <w:color w:val="auto"/>
        </w:rPr>
        <w:t>Trustee</w:t>
      </w:r>
      <w:r>
        <w:rPr>
          <w:rFonts w:ascii="Arial" w:cs="Arial" w:eastAsia="Arial" w:hAnsi="Arial"/>
          <w:sz w:val="16"/>
          <w:szCs w:val="16"/>
          <w:color w:val="auto"/>
        </w:rPr>
        <w:t>”), as supplemented (i) with respect to the 2025 Notes by the First Supplemental Indenture, dated as of April 9, 2020 (the “</w:t>
      </w:r>
      <w:r>
        <w:rPr>
          <w:rFonts w:ascii="Arial" w:cs="Arial" w:eastAsia="Arial" w:hAnsi="Arial"/>
          <w:sz w:val="16"/>
          <w:szCs w:val="16"/>
          <w:i w:val="1"/>
          <w:iCs w:val="1"/>
          <w:color w:val="auto"/>
        </w:rPr>
        <w:t>2025 Notes Supplemental Indenture</w:t>
      </w:r>
      <w:r>
        <w:rPr>
          <w:rFonts w:ascii="Arial" w:cs="Arial" w:eastAsia="Arial" w:hAnsi="Arial"/>
          <w:sz w:val="16"/>
          <w:szCs w:val="16"/>
          <w:color w:val="auto"/>
        </w:rPr>
        <w:t>”), (ii) with respect to the 2026 Notes by the Seventh Supplemental Indenture, dated as of June 24, 2020 (the “</w:t>
      </w:r>
      <w:r>
        <w:rPr>
          <w:rFonts w:ascii="Arial" w:cs="Arial" w:eastAsia="Arial" w:hAnsi="Arial"/>
          <w:sz w:val="16"/>
          <w:szCs w:val="16"/>
          <w:i w:val="1"/>
          <w:iCs w:val="1"/>
          <w:color w:val="auto"/>
        </w:rPr>
        <w:t>2026 Notes Supplemental Indenture</w:t>
      </w:r>
      <w:r>
        <w:rPr>
          <w:rFonts w:ascii="Arial" w:cs="Arial" w:eastAsia="Arial" w:hAnsi="Arial"/>
          <w:sz w:val="16"/>
          <w:szCs w:val="16"/>
          <w:color w:val="auto"/>
        </w:rPr>
        <w:t>”), (iii) with respect to the 2027 Notes by the Second Supplemental Indenture, dated as of April 9, 2020 (the “</w:t>
      </w:r>
      <w:r>
        <w:rPr>
          <w:rFonts w:ascii="Arial" w:cs="Arial" w:eastAsia="Arial" w:hAnsi="Arial"/>
          <w:sz w:val="16"/>
          <w:szCs w:val="16"/>
          <w:i w:val="1"/>
          <w:iCs w:val="1"/>
          <w:color w:val="auto"/>
        </w:rPr>
        <w:t>2027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(iv) with respect to the 2028 Notes by the Eighth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24, 2020, and the Tenth Supplemental Indenture, dated as of October 6, 2020 (collectively, the “</w:t>
      </w:r>
      <w:r>
        <w:rPr>
          <w:rFonts w:ascii="Arial" w:cs="Arial" w:eastAsia="Arial" w:hAnsi="Arial"/>
          <w:sz w:val="16"/>
          <w:szCs w:val="16"/>
          <w:i w:val="1"/>
          <w:iCs w:val="1"/>
          <w:color w:val="auto"/>
        </w:rPr>
        <w:t>2028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(v) with respect to the 2030 Notes by the Third Supplemental Indenture, dated as of April</w:t>
      </w:r>
      <w:r>
        <w:rPr>
          <w:rFonts w:ascii="Arial" w:cs="Arial" w:eastAsia="Arial" w:hAnsi="Arial"/>
          <w:sz w:val="16"/>
          <w:szCs w:val="16"/>
          <w:i w:val="1"/>
          <w:iCs w:val="1"/>
          <w:color w:val="auto"/>
        </w:rPr>
        <w:t xml:space="preserve"> </w:t>
      </w:r>
      <w:r>
        <w:rPr>
          <w:rFonts w:ascii="Arial" w:cs="Arial" w:eastAsia="Arial" w:hAnsi="Arial"/>
          <w:sz w:val="16"/>
          <w:szCs w:val="16"/>
          <w:color w:val="auto"/>
        </w:rPr>
        <w:t>9, 2020 (the “</w:t>
      </w:r>
      <w:r>
        <w:rPr>
          <w:rFonts w:ascii="Arial" w:cs="Arial" w:eastAsia="Arial" w:hAnsi="Arial"/>
          <w:sz w:val="16"/>
          <w:szCs w:val="16"/>
          <w:i w:val="1"/>
          <w:iCs w:val="1"/>
          <w:color w:val="auto"/>
        </w:rPr>
        <w:t>2030 Notes Supplemental Indenture</w:t>
      </w:r>
      <w:r>
        <w:rPr>
          <w:rFonts w:ascii="Arial" w:cs="Arial" w:eastAsia="Arial" w:hAnsi="Arial"/>
          <w:sz w:val="16"/>
          <w:szCs w:val="16"/>
          <w:color w:val="auto"/>
        </w:rPr>
        <w:t>”), (vi) with respect to the February 2031 Notes by the Ninth Supplemental Indenture, dated as of June 24, 2020, and the Eleventh Supplemental Indenture, dated as of October 6, 2020 (collectively, the “</w:t>
      </w:r>
      <w:r>
        <w:rPr>
          <w:rFonts w:ascii="Arial" w:cs="Arial" w:eastAsia="Arial" w:hAnsi="Arial"/>
          <w:sz w:val="16"/>
          <w:szCs w:val="16"/>
          <w:i w:val="1"/>
          <w:iCs w:val="1"/>
          <w:color w:val="auto"/>
        </w:rPr>
        <w:t>February 2031 Notes Supplemental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5" w:lineRule="auto"/>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(vii) with respect to the November 2031 Notes by the Fourteenth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28, 2020 (the “</w:t>
      </w:r>
      <w:r>
        <w:rPr>
          <w:rFonts w:ascii="Arial" w:cs="Arial" w:eastAsia="Arial" w:hAnsi="Arial"/>
          <w:sz w:val="16"/>
          <w:szCs w:val="16"/>
          <w:i w:val="1"/>
          <w:iCs w:val="1"/>
          <w:color w:val="auto"/>
        </w:rPr>
        <w:t>November 2031 Notes Supplemental Indenture</w:t>
      </w:r>
      <w:r>
        <w:rPr>
          <w:rFonts w:ascii="Arial" w:cs="Arial" w:eastAsia="Arial" w:hAnsi="Arial"/>
          <w:sz w:val="16"/>
          <w:szCs w:val="16"/>
          <w:color w:val="auto"/>
        </w:rPr>
        <w:t>”), (viii) with respect to the 2040 Notes by the Fourth Supplemental Indenture, dated as of April 9, 2020 (the “</w:t>
      </w:r>
      <w:r>
        <w:rPr>
          <w:rFonts w:ascii="Arial" w:cs="Arial" w:eastAsia="Arial" w:hAnsi="Arial"/>
          <w:sz w:val="16"/>
          <w:szCs w:val="16"/>
          <w:i w:val="1"/>
          <w:iCs w:val="1"/>
          <w:color w:val="auto"/>
        </w:rPr>
        <w:t>2040 Notes Supplemental Indenture</w:t>
      </w:r>
      <w:r>
        <w:rPr>
          <w:rFonts w:ascii="Arial" w:cs="Arial" w:eastAsia="Arial" w:hAnsi="Arial"/>
          <w:sz w:val="16"/>
          <w:szCs w:val="16"/>
          <w:color w:val="auto"/>
        </w:rPr>
        <w:t>”), (ix) with respect to the 2041 Notes by the Twelfth Supplemental Indenture, dated as of October 6, 2020, and the Fifteenth Supplemental Indenture, dated as of October 28, 2020 (collectively, the “</w:t>
      </w:r>
      <w:r>
        <w:rPr>
          <w:rFonts w:ascii="Arial" w:cs="Arial" w:eastAsia="Arial" w:hAnsi="Arial"/>
          <w:sz w:val="16"/>
          <w:szCs w:val="16"/>
          <w:i w:val="1"/>
          <w:iCs w:val="1"/>
          <w:color w:val="auto"/>
        </w:rPr>
        <w:t>2041 Notes Supplemental Indenture</w:t>
      </w:r>
      <w:r>
        <w:rPr>
          <w:rFonts w:ascii="Arial" w:cs="Arial" w:eastAsia="Arial" w:hAnsi="Arial"/>
          <w:sz w:val="16"/>
          <w:szCs w:val="16"/>
          <w:color w:val="auto"/>
        </w:rPr>
        <w:t>”), (x) with respect to the 2050 Notes by the Fifth Supplemental Indenture, dated as of April 9, 2020 (the “</w:t>
      </w:r>
      <w:r>
        <w:rPr>
          <w:rFonts w:ascii="Arial" w:cs="Arial" w:eastAsia="Arial" w:hAnsi="Arial"/>
          <w:sz w:val="16"/>
          <w:szCs w:val="16"/>
          <w:i w:val="1"/>
          <w:iCs w:val="1"/>
          <w:color w:val="auto"/>
        </w:rPr>
        <w:t>2050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(xi) with respect to the 2051 Notes by the Thirteenth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6, 2020, and the Sixteenth Supplemental Indenture, dated as of October 28, 2020 (collectively, the “</w:t>
      </w:r>
      <w:r>
        <w:rPr>
          <w:rFonts w:ascii="Arial" w:cs="Arial" w:eastAsia="Arial" w:hAnsi="Arial"/>
          <w:sz w:val="16"/>
          <w:szCs w:val="16"/>
          <w:i w:val="1"/>
          <w:iCs w:val="1"/>
          <w:color w:val="auto"/>
        </w:rPr>
        <w:t>2051</w:t>
      </w:r>
      <w:r>
        <w:rPr>
          <w:rFonts w:ascii="Arial" w:cs="Arial" w:eastAsia="Arial" w:hAnsi="Arial"/>
          <w:sz w:val="16"/>
          <w:szCs w:val="16"/>
          <w:color w:val="auto"/>
        </w:rPr>
        <w:t xml:space="preserve"> </w:t>
      </w:r>
      <w:r>
        <w:rPr>
          <w:rFonts w:ascii="Arial" w:cs="Arial" w:eastAsia="Arial" w:hAnsi="Arial"/>
          <w:sz w:val="16"/>
          <w:szCs w:val="16"/>
          <w:i w:val="1"/>
          <w:iCs w:val="1"/>
          <w:color w:val="auto"/>
        </w:rPr>
        <w:t>Notes Supplemental Indenture</w:t>
      </w:r>
      <w:r>
        <w:rPr>
          <w:rFonts w:ascii="Arial" w:cs="Arial" w:eastAsia="Arial" w:hAnsi="Arial"/>
          <w:sz w:val="16"/>
          <w:szCs w:val="16"/>
          <w:color w:val="auto"/>
        </w:rPr>
        <w:t>”), and (xii) with respect to the 2060 Notes by the Seventeenth Supplemental</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dated as of October 28, 2020 (the “</w:t>
      </w:r>
      <w:r>
        <w:rPr>
          <w:rFonts w:ascii="Arial" w:cs="Arial" w:eastAsia="Arial" w:hAnsi="Arial"/>
          <w:sz w:val="16"/>
          <w:szCs w:val="16"/>
          <w:i w:val="1"/>
          <w:iCs w:val="1"/>
          <w:color w:val="auto"/>
        </w:rPr>
        <w:t>2060 Notes Supplemental Indenture</w:t>
      </w:r>
      <w:r>
        <w:rPr>
          <w:rFonts w:ascii="Arial" w:cs="Arial" w:eastAsia="Arial" w:hAnsi="Arial"/>
          <w:sz w:val="16"/>
          <w:szCs w:val="16"/>
          <w:color w:val="auto"/>
        </w:rPr>
        <w:t>” and each of the 2025 Notes Supplemental Indenture, the 2026 Notes Supplemental Indenture, the 2027 Notes Supplemental Indenture, the 2028 Notes Supplemental Indenture, the 2030 Notes Supplemental Indenture, the February 2031 Notes Supplemental Indenture, the November 2031 Notes Supplemental Indenture, the 2040 Notes Supplemental Indenture, the 2041 Notes Supplemental Indenture, the 2050 Notes Supplemental Indenture, the 2051 Notes Supplemental Indenture, the 2060 Notes Supplemental Indenture, with respect to the applicable series of Notes,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each among the Issuer, Parent, the Subsidiary Guarantors, the Trustee, Deutsche Bank Trust Company Americas, as paying agent and Deutsche Bank Trust Company Americas, as registrar and transfer agent.</w:t>
      </w:r>
    </w:p>
    <w:p>
      <w:pPr>
        <w:spacing w:after="0" w:line="66"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In this Description of Notes, the term “</w:t>
      </w:r>
      <w:r>
        <w:rPr>
          <w:rFonts w:ascii="Arial" w:cs="Arial" w:eastAsia="Arial" w:hAnsi="Arial"/>
          <w:sz w:val="18"/>
          <w:szCs w:val="18"/>
          <w:i w:val="1"/>
          <w:iCs w:val="1"/>
          <w:color w:val="auto"/>
        </w:rPr>
        <w:t>Indenture</w:t>
      </w:r>
      <w:r>
        <w:rPr>
          <w:rFonts w:ascii="Arial" w:cs="Arial" w:eastAsia="Arial" w:hAnsi="Arial"/>
          <w:sz w:val="18"/>
          <w:szCs w:val="18"/>
          <w:color w:val="auto"/>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w:t>
      </w:r>
    </w:p>
    <w:p>
      <w:pPr>
        <w:spacing w:after="0" w:line="79"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In this Description of Notes, (i) the “</w:t>
      </w:r>
      <w:r>
        <w:rPr>
          <w:rFonts w:ascii="Arial" w:cs="Arial" w:eastAsia="Arial" w:hAnsi="Arial"/>
          <w:sz w:val="18"/>
          <w:szCs w:val="18"/>
          <w:i w:val="1"/>
          <w:iCs w:val="1"/>
          <w:color w:val="auto"/>
        </w:rPr>
        <w:t>Issuer</w:t>
      </w:r>
      <w:r>
        <w:rPr>
          <w:rFonts w:ascii="Arial" w:cs="Arial" w:eastAsia="Arial" w:hAnsi="Arial"/>
          <w:sz w:val="18"/>
          <w:szCs w:val="18"/>
          <w:color w:val="auto"/>
        </w:rPr>
        <w:t>” refers only to T-Mobile USA, Inc. and not to any of its Subsidiaries and (ii) “</w:t>
      </w:r>
      <w:r>
        <w:rPr>
          <w:rFonts w:ascii="Arial" w:cs="Arial" w:eastAsia="Arial" w:hAnsi="Arial"/>
          <w:sz w:val="18"/>
          <w:szCs w:val="18"/>
          <w:i w:val="1"/>
          <w:iCs w:val="1"/>
          <w:color w:val="auto"/>
        </w:rPr>
        <w:t>Parent</w:t>
      </w:r>
      <w:r>
        <w:rPr>
          <w:rFonts w:ascii="Arial" w:cs="Arial" w:eastAsia="Arial" w:hAnsi="Arial"/>
          <w:sz w:val="18"/>
          <w:szCs w:val="18"/>
          <w:color w:val="auto"/>
        </w:rPr>
        <w:t>” refers only to T-Mobile US, Inc. and not to any of its Subsidiaries. The obligations and covenants of the Issuer described in this Description of Notes are only of the Issuer, and not of Parent. Although Parent is a guarantor of the Original Notes and will be a guarantor of the Exchange Notes, Parent and any of its Subsidiaries that are not the Issuer or the Issuer’s Subsidiaries generally are not and will not be subject to any of the obligations and covenants described hereunder.</w:t>
      </w:r>
    </w:p>
    <w:p>
      <w:pPr>
        <w:spacing w:after="0" w:line="84"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The following description is a summary of the material provisions of the Indenture, the Security Documents and the Intercreditor Agreement applicable to both the Exchange Notes and the Original Notes. As such, when we refer to a series of Notes, we are describing the material provisions of the corresponding series of both the Original Notes and the Exchange Notes, and when we refer to the Notes, we are describing the material provisions of both the Original Notes and the Exchange Notes. The following description does not restate the terms of the Indenture, the Security Documents and the Intercreditor Agreement in their entirety. We urge you to read the Indenture, the Security Documents and the Intercreditor Agreement in their entirety because they, and not this Description of Notes, define your rights as a holder of Original Notes or Exchange Notes, as applicable. For more information on how you can obtain a copy of the Base Indenture, Supplemental Indentures, Security Documents and the Intercreditor Agreement,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 the Security Documents or the Intercreditor Agreement.</w:t>
      </w:r>
    </w:p>
    <w:p>
      <w:pPr>
        <w:spacing w:after="0" w:line="78" w:lineRule="exact"/>
        <w:rPr>
          <w:sz w:val="20"/>
          <w:szCs w:val="20"/>
          <w:color w:val="auto"/>
        </w:rPr>
      </w:pPr>
    </w:p>
    <w:p>
      <w:pPr>
        <w:ind w:left="300" w:right="599" w:firstLine="360"/>
        <w:spacing w:after="0" w:line="311" w:lineRule="auto"/>
        <w:rPr>
          <w:sz w:val="20"/>
          <w:szCs w:val="20"/>
          <w:color w:val="auto"/>
        </w:rPr>
      </w:pPr>
      <w:r>
        <w:rPr>
          <w:rFonts w:ascii="Arial" w:cs="Arial" w:eastAsia="Arial" w:hAnsi="Arial"/>
          <w:sz w:val="16"/>
          <w:szCs w:val="16"/>
          <w:color w:val="auto"/>
        </w:rPr>
        <w:t>The registered holder of a Note will be treated as the owner of such Note for all purposes. Only registered holders will have rights under the Indenture. The Original Notes were issued initially in a private transaction that was not subject to the registration requirements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Original Notes of each series are, and the Exchange Notes of each series will be:</w:t>
      </w:r>
    </w:p>
    <w:p>
      <w:pPr>
        <w:spacing w:after="0" w:line="117"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unsubordinated obligations of the Issuer;</w:t>
      </w:r>
    </w:p>
    <w:p>
      <w:pPr>
        <w:spacing w:after="0" w:line="117" w:lineRule="exact"/>
        <w:rPr>
          <w:rFonts w:ascii="Arial" w:cs="Arial" w:eastAsia="Arial" w:hAnsi="Arial"/>
          <w:sz w:val="18"/>
          <w:szCs w:val="18"/>
          <w:color w:val="auto"/>
        </w:rPr>
      </w:pPr>
    </w:p>
    <w:p>
      <w:pPr>
        <w:jc w:val="both"/>
        <w:ind w:left="1000" w:right="73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secured by Liens on the Collateral on an equal and ratable basis with the obligations under the Credit Agreement and any other existing and future permitted First Priority Secured Obligations, subject to Permitted Liens;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1159" w:hanging="348"/>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senior in right of payment to any future Indebtedness of the Issuer to the extent that such future Indebtedness provides by its terms that it is subordinated in right of payment to the Notes;</w:t>
      </w:r>
    </w:p>
    <w:p>
      <w:pPr>
        <w:spacing w:after="0" w:line="15" w:lineRule="exact"/>
        <w:rPr>
          <w:rFonts w:ascii="Arial" w:cs="Arial" w:eastAsia="Arial" w:hAnsi="Arial"/>
          <w:sz w:val="16"/>
          <w:szCs w:val="16"/>
          <w:color w:val="auto"/>
        </w:rPr>
      </w:pPr>
    </w:p>
    <w:p>
      <w:pPr>
        <w:ind w:left="1000" w:right="31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senior to all existing and future unsecured indebtedness of the Issuer and any future indebtedness of the Issuer secured by a junior Lien on the Collateral, in each case to the extent of the value of the Collateral securing the obligations under the Notes;</w:t>
      </w:r>
    </w:p>
    <w:p>
      <w:pPr>
        <w:spacing w:after="0" w:line="75"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equal in right of payment with any of the Issuer’s existing and future Indebtedness and other liabilities that are not by their terms subordinated in right of payment to the Notes, including, without limitation, the obligations under the Credit Agreement, the Outstanding T-Mobile Unsecured Notes, the Existing Sprint Unsecured Notes and the Tower Obligations;</w:t>
      </w:r>
    </w:p>
    <w:p>
      <w:pPr>
        <w:spacing w:after="0" w:line="78"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indebtedness that is secured by Liens on assets that do not constitute Collateral, to the extent of the value of such assets;</w:t>
      </w:r>
    </w:p>
    <w:p>
      <w:pPr>
        <w:spacing w:after="0" w:line="62"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structurally subordinated to all of the liabilities and other obligations of the Issuer’s subsidiaries that are not obligors with respect to the Notes, including the Existing Sprint Spectrum-Backed Notes, factoring arrangements and tower obligations; and</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unconditionally guaranteed on (i) a senior secured basis by the Secured Guarantors and (ii) a senior unsecured basis by the Unsecured Guarantors.</w:t>
      </w:r>
    </w:p>
    <w:p>
      <w:pPr>
        <w:spacing w:after="0" w:line="62"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spacing w:after="0" w:line="79"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 xml:space="preserve">Assuming that on December 31, 2020, we had completed the Q1 Notes Issuances and the Q1 Redemption, we would have had approximately $81.4 billion of outstanding indebtedness and other obligations, excluding letter of credit obligations, including $31.8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outstanding secured indebtedness, consisting of the Outstanding T-Mobile Secured Notes. In addition, we would have had $17.9 billion of outstanding unsecured indebtedness under the Outstanding T-Mobile Unsecured Notes, $19.8 billion of outstanding unsecured indebtedness under the Existing Sprint Unsecured Notes and approximately $3.0 billion in unsecured Tower Obligations. We also would have had $5.5 billion of revolving borrowings available on a secured basis under the Credit Agreement.</w:t>
      </w:r>
    </w:p>
    <w:p>
      <w:pPr>
        <w:spacing w:after="0" w:line="58" w:lineRule="exact"/>
        <w:rPr>
          <w:sz w:val="20"/>
          <w:szCs w:val="20"/>
          <w:color w:val="auto"/>
        </w:rPr>
      </w:pPr>
    </w:p>
    <w:p>
      <w:pPr>
        <w:ind w:left="300" w:right="519" w:firstLine="360"/>
        <w:spacing w:after="0" w:line="255" w:lineRule="auto"/>
        <w:rPr>
          <w:sz w:val="20"/>
          <w:szCs w:val="20"/>
          <w:color w:val="auto"/>
        </w:rPr>
      </w:pPr>
      <w:r>
        <w:rPr>
          <w:rFonts w:ascii="Arial" w:cs="Arial" w:eastAsia="Arial" w:hAnsi="Arial"/>
          <w:sz w:val="18"/>
          <w:szCs w:val="18"/>
          <w:color w:val="auto"/>
        </w:rPr>
        <w:t>In addition, as of December 31, 2020, an aggregate principal amount of $4.6 billion of Existing Sprint Spectrum-Backed Notes was outstanding and up to $2.4 billion remained available for issuance under the Sprint Spectrum Note Facility. The Existing Sprint Spectrum Note Entities own a separate pool of 2.5 GHz and 1.9 GHz spectrum which has been pledged to secure indebtedness under the Sprint Spectrum Note Facility. This spectrum does not secure the Original Notes, will not secure the Exchange Notes and does not and will not secure any other permitted first priority secured obligations.</w:t>
      </w:r>
    </w:p>
    <w:p>
      <w:pPr>
        <w:spacing w:after="0" w:line="84" w:lineRule="exact"/>
        <w:rPr>
          <w:sz w:val="20"/>
          <w:szCs w:val="20"/>
          <w:color w:val="auto"/>
        </w:rPr>
      </w:pPr>
    </w:p>
    <w:p>
      <w:pPr>
        <w:jc w:val="both"/>
        <w:ind w:left="300" w:right="439" w:firstLine="360"/>
        <w:spacing w:after="0" w:line="311" w:lineRule="auto"/>
        <w:rPr>
          <w:sz w:val="20"/>
          <w:szCs w:val="20"/>
          <w:color w:val="auto"/>
        </w:rPr>
      </w:pPr>
      <w:r>
        <w:rPr>
          <w:rFonts w:ascii="Arial" w:cs="Arial" w:eastAsia="Arial" w:hAnsi="Arial"/>
          <w:sz w:val="16"/>
          <w:szCs w:val="16"/>
          <w:color w:val="auto"/>
        </w:rPr>
        <w:t>Assuming that on December 31, 2020, we had completed the Q1 Notes Issuances and the Q1 Redemption and all of the Guarantees were in place, our non-guarantor subsidiaries would have had approximately $12.2 billion of total assets and approximately $6.7 billion of indebtedness and Tower Obligations outstanding.</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 Guarantees</w:t>
      </w:r>
    </w:p>
    <w:p>
      <w:pPr>
        <w:spacing w:after="0" w:line="121" w:lineRule="exact"/>
        <w:rPr>
          <w:sz w:val="20"/>
          <w:szCs w:val="20"/>
          <w:color w:val="auto"/>
        </w:rPr>
      </w:pPr>
    </w:p>
    <w:p>
      <w:pPr>
        <w:ind w:left="300" w:right="439" w:firstLine="360"/>
        <w:spacing w:after="0" w:line="286" w:lineRule="auto"/>
        <w:rPr>
          <w:sz w:val="20"/>
          <w:szCs w:val="20"/>
          <w:color w:val="auto"/>
        </w:rPr>
      </w:pPr>
      <w:r>
        <w:rPr>
          <w:rFonts w:ascii="Arial" w:cs="Arial" w:eastAsia="Arial" w:hAnsi="Arial"/>
          <w:sz w:val="16"/>
          <w:szCs w:val="16"/>
          <w:color w:val="auto"/>
        </w:rPr>
        <w:t>The Original Notes are, and the Existing Notes will be, guaranteed by (i) Parent and any Wholly-Owned Subsidiary of the Issuer that (x) is not an Excluded Subsidiary and (y) is an obligor under (1) the Credit Agreement or (2) assuming such Subsidiary is not an “Unrestricted Subsidiary” (or the equivalent thereof) under the Credit Agreement, any capital markets debt securities in an aggregate principal amount in excess of $500.0 million and</w:t>
      </w:r>
    </w:p>
    <w:p>
      <w:pPr>
        <w:spacing w:after="0" w:line="1" w:lineRule="exact"/>
        <w:rPr>
          <w:sz w:val="20"/>
          <w:szCs w:val="20"/>
          <w:color w:val="auto"/>
        </w:rPr>
      </w:pPr>
    </w:p>
    <w:p>
      <w:pPr>
        <w:ind w:left="300" w:right="359" w:hanging="8"/>
        <w:spacing w:after="0" w:line="268" w:lineRule="auto"/>
        <w:tabs>
          <w:tab w:leader="none" w:pos="5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future direct or indirect Subsidiary of Parent or any Subsidiary of Parent that directly or indirectly owns Capital Stock of the Issuer. Such entities are expected to include the Issuer’s Domestic Subsidiaries that are Wholly-Owned Subsidiaries of the Issuer (other than special purpose securitization entities, Immaterial Subsidiaries and the Reinsurance Entity), including each of Sprint Corporation and its Subsidiaries that meet the foregoing requirements (the “</w:t>
      </w:r>
      <w:r>
        <w:rPr>
          <w:rFonts w:ascii="Arial" w:cs="Arial" w:eastAsia="Arial" w:hAnsi="Arial"/>
          <w:sz w:val="17"/>
          <w:szCs w:val="17"/>
          <w:i w:val="1"/>
          <w:iCs w:val="1"/>
          <w:color w:val="auto"/>
        </w:rPr>
        <w:t>Sprint Guarantors</w:t>
      </w:r>
      <w:r>
        <w:rPr>
          <w:rFonts w:ascii="Arial" w:cs="Arial" w:eastAsia="Arial" w:hAnsi="Arial"/>
          <w:sz w:val="17"/>
          <w:szCs w:val="17"/>
          <w:color w:val="auto"/>
        </w:rPr>
        <w:t>”). These Note Guarantees are (with respect to Original Notes) or will be (with respect to Exchange Notes) joint and several obligations of the Guarantors. The obligations of each Guarantor under its Note Guarantee is (with respect to Original Notes) or will be (with respect to Exchange Notes) limited as necessary to prevent that Note Guarantee from constituting a fraudulent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conveyance under applicable law. See “Risk Factors—Risks Related to the Notes—The Guarantees (or the related security interests) may be avoidable and therefore not be enforceable because of fraudulent conveyance or fraudulent transfer laws.”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Note Guarantee of the Notes by a Guarantor is (with respect to Original Notes) or will be (with respect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Notes):</w:t>
      </w:r>
    </w:p>
    <w:p>
      <w:pPr>
        <w:spacing w:after="0" w:line="103"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general unsubordinated obligation of such Guarantor;</w:t>
      </w:r>
    </w:p>
    <w:p>
      <w:pPr>
        <w:spacing w:after="0" w:line="117" w:lineRule="exact"/>
        <w:rPr>
          <w:rFonts w:ascii="Arial" w:cs="Arial" w:eastAsia="Arial" w:hAnsi="Arial"/>
          <w:sz w:val="18"/>
          <w:szCs w:val="18"/>
          <w:color w:val="auto"/>
        </w:rPr>
      </w:pPr>
    </w:p>
    <w:p>
      <w:pPr>
        <w:ind w:left="1000" w:right="49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Subsidiary Guarantors other than the Unsecured Guarantors, secured by Liens on the Collateral on an equal and ratable basis with the obligations under the Credit Agreement and obligations under any other existing and future permitted First Priority Secured Obligations, subject to Permitted Liens;</w:t>
      </w:r>
    </w:p>
    <w:p>
      <w:pPr>
        <w:spacing w:after="0" w:line="78"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that Guarantor to the extent that such future Indebtedness provides by its terms that it is subordinated in right of payment to such Guarantor’s Note Guarantee;</w:t>
      </w:r>
    </w:p>
    <w:p>
      <w:pPr>
        <w:spacing w:after="0" w:line="75"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Subsidiary Guarantors other than the Unsecured Guarantors, effectively senior to all existing and future unsecured indebtedness of the Guarantor and any future indebtedness of the Guarantor secured by a junior Lien on the Collateral, in each case to the extent of the value of the Collateral securing the obligations under such Guarantor’s Note Guarantee;</w:t>
      </w:r>
    </w:p>
    <w:p>
      <w:pPr>
        <w:spacing w:after="0" w:line="78"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equal in right of payment with any of the Guarantor’s existing and future Indebtedness and other liabilities that are not by their terms subordinated in right of payment to the Notes, including, without limitation, obligations under the Credit Agreement, the Outstanding T-Mobile Unsecured Notes and the Existing Sprint Unsecured Notes;</w:t>
      </w:r>
    </w:p>
    <w:p>
      <w:pPr>
        <w:spacing w:after="0" w:line="78"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subordinated to any Unsecured Guarantor’s existing and future secured Indebtedness to the extent of the value of the assets of such Unsecured Guarantor constituting collateral securing such Indebtedness;</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obligations of any Subsidiaries of such Guarantor that are not obligors with respect to the Notes; and</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the Guarantees of Sprint Corporation, Sprint Communications, Inc. and Sprint Capital Corporation (which are provided on a senior unsecured basis), effectively subordinated to such Unsecured Guarantors’ existing and future secured indebtedness, to the extent of the value of the collateral securing such debt.</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spacing w:after="0" w:line="79"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spacing w:after="0" w:line="80"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Note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p>
      <w:pPr>
        <w:spacing w:after="0" w:line="78" w:lineRule="exact"/>
        <w:rPr>
          <w:rFonts w:ascii="Arial" w:cs="Arial" w:eastAsia="Arial" w:hAnsi="Arial"/>
          <w:sz w:val="18"/>
          <w:szCs w:val="18"/>
          <w:color w:val="auto"/>
        </w:rPr>
      </w:pPr>
    </w:p>
    <w:p>
      <w:pPr>
        <w:ind w:left="1000" w:right="379" w:hanging="348"/>
        <w:spacing w:after="0" w:line="27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Note Guarantee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69"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liquidation or dissolution of any Subsidiary Guarantor, provided that no Event of Default has occurred that is continuing;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The Notes of any series and any additional Notes of such series subsequently issued, together with any Exchange Notes issued with respect to such series in accordance with the applicable Registration Rights Agreement, will be treated as a single series for all purposes under the Indenture, including, without limitation, waivers, amendments, redemptions and offers to 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are not fungible with the Notes of any series (or with any other additional Notes of that series) for U.S. federal income tax purposes will have a separate CUSIP, ISIN, common code or other identifying number, as applicable. The Notes of any series and any such further additional Notes will be secured equally and ratably by the Liens on the Collateral described below under the heading “—Collateral”.</w:t>
      </w:r>
    </w:p>
    <w:p>
      <w:pPr>
        <w:spacing w:after="0" w:line="6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Issuer issued the Original Notes, and will issue Exchange Notes, in minimum denominations of $2,000 and integral multiples of $1,000 in excess thereof.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2025 Notes will mature on April 15, 2025, the 2026 Notes will mature on February 15, 2026, the</w:t>
      </w:r>
    </w:p>
    <w:p>
      <w:pPr>
        <w:spacing w:after="0" w:line="23"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2027 Notes will mature on April 15, 2027, the 2028 Notes will mature on February 15, 2028, the 2030 Notes will mature on April 15, 2030, the February 2031 Notes will mature on February 15, 2031, the November 2031 Notes will mature on November 15, 2031, the 2040 Notes will mature on April 15, 2040, the 2041 Notes will mature on February 15, 2041, the 2050 Notes will mature on April 15, 2050, the 2051 Notes will mature on February 15, 2051 and the 2060 Notes will mature on November 15, 2060.</w:t>
      </w:r>
    </w:p>
    <w:p>
      <w:pPr>
        <w:spacing w:after="0" w:line="83"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(and, in the case of Exchange Notes, interest will accrue from the date of original issuance or, if interest has already been paid on the corresponding Original Notes exchanged therefor, the date it was most recently paid on such Original Notes).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Outstanding Notes is, and interest on the Exchange Notes will be, computed on the basis of a 360-day year consisting of twelve 30-day months.</w:t>
      </w:r>
    </w:p>
    <w:p>
      <w:pPr>
        <w:spacing w:after="0" w:line="70"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Interest on the 2025 Original Notes accrues, and interest on the 2025 Exchange Notes will accrue, at the rate of 3.500% per annum; interest on the 2026 Original Notes accrues, and interest on the 2026 Exchange Notes will accrue, at the rate of 1.500% per annum; interest on the 2027 Original Notes accrues, and interest on the 2027 Exchange Notes will accrue, at the rate of 3.750% per annum; interest on the 2028 Original Notes accrues,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and interest on the 2028 Exchange Notes will accrue, at the rate of 2.050% per annum; interest on the 2030 Original Notes accrues, and interest on the 2030 Exchange Notes will accrue, at the rate of 3.875% per annum; interest on the February 2031 Original Notes accrues, and interest on the February 2031 Exchange Notes will accrue, at the rate of 2.550% per annum; interest on the November 2031 Original Notes accrues, and interest on the November 2031 Exchange Notes will accrue, at the rate of 2.250% per annum; interest on the 2040 Original Notes accrues, and interest on the 2040 Exchange Notes will accrue, at the rate of 4.375% per annum; interest on the 2041 Original Notes accrues, and interest on the 2041 Exchange Notes will accrue, at the rate of 3.000% per annum; interest on the 2050 Original Notes accrues, and interest on the 2050 Exchange Notes will accrue, at the rate of 4.500% per annum; interest on the 2051 Original Notes accrues, and interest on the 2051 Exchange Notes will accrue, at the rate of</w:t>
      </w:r>
    </w:p>
    <w:p>
      <w:pPr>
        <w:spacing w:after="0" w:line="6" w:lineRule="exact"/>
        <w:rPr>
          <w:sz w:val="20"/>
          <w:szCs w:val="20"/>
          <w:color w:val="auto"/>
        </w:rPr>
      </w:pPr>
    </w:p>
    <w:p>
      <w:pPr>
        <w:ind w:left="300" w:right="539"/>
        <w:spacing w:after="0" w:line="260" w:lineRule="auto"/>
        <w:rPr>
          <w:sz w:val="20"/>
          <w:szCs w:val="20"/>
          <w:color w:val="auto"/>
        </w:rPr>
      </w:pPr>
      <w:r>
        <w:rPr>
          <w:rFonts w:ascii="Arial" w:cs="Arial" w:eastAsia="Arial" w:hAnsi="Arial"/>
          <w:sz w:val="18"/>
          <w:szCs w:val="18"/>
          <w:color w:val="auto"/>
        </w:rPr>
        <w:t>3.300% per annum and interest on the 2060 Original Notes accrues, and interest on the 2060 Exchange Notes will accrue, at the rate of 3.600% per annum.</w:t>
      </w:r>
    </w:p>
    <w:p>
      <w:pPr>
        <w:spacing w:after="0" w:line="77"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Interest on the 2025 Original Notes, the 2027 Original Notes, the 2030 Original Notes, the 2040 Original Notes and the 2050 Original Notes is, and interest the 2025 Exchange Notes, the 2027 Exchange Notes, the 2030 Exchange Notes, the 2040 Exchange Notes and the 2050 Exchange Notes will be, payable semiannually in arrears on April 15 and October 15. The Issuer will make each interest payment to the holders of record of the 2025 Notes, the 2027 Notes, the 2030 Notes, the 2040 Notes and the 2050 Notes on the immediately preceding April 1 and October 1 (whether or not a Business Day). Interest on the 2026 Original Notes, the 2028 Original Notes, the February 2031 Original Notes, the 2041 Original Notes and the 2051 Original Notes is, and interest on the 2026 Exchange Notes, the 2028 Exchange Notes, the February 2031 Exchange Notes, the 2041 Exchange Notes and the 2051 Exchange Notes will be, payable semiannually in arrears on February 15 and August 15. The Issuer will make each interest payment to the holders of record of the 2026 Notes, the 2028 Notes, the February 2031 Notes, the 2041 Notes and the 2051 Notes on the immediately preceding February 1 and August 1 (whether or not a Business Day). Interest on the November 2031 Original Notes and the 2060 Original Notes is, and interest on the November 2031 Exchange Notes and the 2060 Exchange Notes will be, payable semiannually in arrears on May 15 and November 15, commencing on May 15, 2021. The Issuer will make each interest payment to the holders of record of the November 2031 Notes and the 2060 Notes on the immediately preceding May 1 and November 1 (whether or not a Business Day).</w:t>
      </w:r>
    </w:p>
    <w:p>
      <w:pPr>
        <w:spacing w:after="0" w:line="72"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Payments of principal of and interest on the Notes issued in book-entry form or definitive form, if any, will be made as described below under the caption “—Methods of Receiving Payments on the Notes.”</w:t>
      </w:r>
    </w:p>
    <w:p>
      <w:pPr>
        <w:spacing w:after="0" w:line="3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Original Notes of each series are, and the Exchange Notes of each series of Notes initially will be, evidenced by one or more global notes deposited with a custodian for, and registered in the name of, Cede &amp; Co., as nominee of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Notes are not, and the Issuer does not intend to apply for the Notes to be, listed on any securities exchange or to arrange for the Notes to be quoted on any quotation system.</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If a holder of a definitive note has given wire transfer instructions to the Issuer and the Issuer is the paying agent, the Issuer will pay all principal, interest and premium, if any, on that holder’s Notes in accordance with those 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color w:val="auto"/>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firstLine="360"/>
        <w:spacing w:after="0" w:line="273" w:lineRule="auto"/>
        <w:rPr>
          <w:sz w:val="20"/>
          <w:szCs w:val="20"/>
          <w:color w:val="auto"/>
        </w:rPr>
      </w:pPr>
      <w:r>
        <w:rPr>
          <w:rFonts w:ascii="Arial" w:cs="Arial" w:eastAsia="Arial" w:hAnsi="Arial"/>
          <w:sz w:val="17"/>
          <w:szCs w:val="17"/>
          <w:color w:val="auto"/>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spacing w:after="0" w:line="7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Prior to the applicable Par Call Date with respect to each series of Notes, the Original Notes of such series are, and the Exchange Notes of such series will be, redeemable, in whole or in part, at the Issuer’s option, at any time or from time to time, on at least 15 days’ but not more than 60 days’ prior notice to the holders of the Notes of such series to be redeemed, at a redemption price equal to the greater of:</w:t>
      </w:r>
    </w:p>
    <w:p>
      <w:pPr>
        <w:spacing w:after="0" w:line="63"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the principal amount thereof; or</w:t>
      </w:r>
    </w:p>
    <w:p>
      <w:pPr>
        <w:spacing w:after="0" w:line="117" w:lineRule="exact"/>
        <w:rPr>
          <w:rFonts w:ascii="Arial" w:cs="Arial" w:eastAsia="Arial" w:hAnsi="Arial"/>
          <w:sz w:val="18"/>
          <w:szCs w:val="18"/>
          <w:color w:val="auto"/>
        </w:rPr>
      </w:pPr>
    </w:p>
    <w:p>
      <w:pPr>
        <w:ind w:left="1000" w:right="339" w:hanging="348"/>
        <w:spacing w:after="0" w:line="287"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sum, as calculated by the Issuer, of the present values of the remaining scheduled payments of principal and interest on the Notes being redeemed (assuming that such Notes matured on their applicable Par Call Date), exclusive of interest accrued to, but not including, the redemption date, discounted to the redemption date on a semi-annual basis (assuming a 360-day year consisting of twelve 30-day months) at a rate equal to the sum of the applicable Treasury Rate (as defined below) plus 50 basis points in the case of the 2025 Notes, 20 basis points in the case of the 2026 Notes, 50 basis points in the case of the 2027 Notes, 25 basis points in the case of the 2028 Notes, 50 basis points in the case of the 2030 Notes, 30 basis points in the case of the February 2031 Notes, 25 basis points in the case of the November 2031 Notes, 50 basis points in the case of the 2040 Notes, 25 basis points in the case of the 2041 Notes, 50 basis points in the case of the 2050 Notes, 30 basis points in the case of the 2051 Notes and 35 basis points in the case of the 2060 Notes (any excess of the amount described in this bullet point over the amount described in the immediately preceding bullet point, the “</w:t>
      </w:r>
      <w:r>
        <w:rPr>
          <w:rFonts w:ascii="Arial" w:cs="Arial" w:eastAsia="Arial" w:hAnsi="Arial"/>
          <w:sz w:val="16"/>
          <w:szCs w:val="16"/>
          <w:i w:val="1"/>
          <w:iCs w:val="1"/>
          <w:color w:val="auto"/>
        </w:rPr>
        <w:t>Make-Whole Premium</w:t>
      </w:r>
      <w:r>
        <w:rPr>
          <w:rFonts w:ascii="Arial" w:cs="Arial" w:eastAsia="Arial" w:hAnsi="Arial"/>
          <w:sz w:val="16"/>
          <w:szCs w:val="16"/>
          <w:color w:val="auto"/>
        </w:rPr>
        <w:t>”).</w:t>
      </w:r>
    </w:p>
    <w:p>
      <w:pPr>
        <w:spacing w:after="0" w:line="60"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On or after the applicable Par Call Date with respect to each series of Notes, the Notes of such series will be redeemable, in whole or in part, at the Issuer’s option, at any time or from time to time, on at least 15 days’ but not more than 60 days’ prior notice to the holders of such series to be redeemed, at a redemption price equal to 100% of the principal amount thereof.</w:t>
      </w:r>
    </w:p>
    <w:p>
      <w:pPr>
        <w:spacing w:after="0" w:line="79"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In each case, we will also pay the accrued and unpaid interest on the principal amount being redeemed to, but not including, the redemption date.</w:t>
      </w:r>
    </w:p>
    <w:p>
      <w:pPr>
        <w:spacing w:after="0" w:line="62"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 as having a constant maturity comparable to the remaining term of the Notes to be redeemed (assuming that such Notes matured on their applicable Par Call Date) that would be utilized, at the time of selection and in accordance with customary financial practice, in pricing new issues of corporate debt securities of comparable maturity to the remaining term of such Notes (assuming that such Notes matured on their applicable Par Call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Reference Treasury Dealer Quotations, or (2) if the Independent Investment Bank obtains fewer than four such Reference Treasury Dealer Quotations, the average of all such quotations.</w:t>
      </w:r>
    </w:p>
    <w:p>
      <w:pPr>
        <w:spacing w:after="0" w:line="7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w:t>
      </w:r>
      <w:r>
        <w:rPr>
          <w:rFonts w:ascii="Arial" w:cs="Arial" w:eastAsia="Arial" w:hAnsi="Arial"/>
          <w:sz w:val="18"/>
          <w:szCs w:val="18"/>
          <w:color w:val="auto"/>
        </w:rPr>
        <w:t>” means one of the Reference Treasury Dealers that the Issuer appoints to act as the Independent Investment Bank from time to time.</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 Call Date</w:t>
      </w:r>
      <w:r>
        <w:rPr>
          <w:rFonts w:ascii="Arial" w:cs="Arial" w:eastAsia="Arial" w:hAnsi="Arial"/>
          <w:sz w:val="16"/>
          <w:szCs w:val="16"/>
          <w:color w:val="auto"/>
        </w:rPr>
        <w:t>” means(i) with respect to the 2025 Notes, March 15, 2025 (one month prior to the maturity date of such 2025 Notes), (ii) with respect to the 2026 Notes, January 15, 2026 (one month prior to the maturity date of such 2026 Notes), (iii) with respect to the 2027 Notes, February 15, 2027 (two months prior to the maturity date of such 2027 Notes), (iv) with respect to the 2028 Notes, December 15, 2027 (two months prior to the maturity date of such 2028 Notes), (v) with respect to the 2030 Notes, January 15, 2030 (three months prior to the maturity date of such 2030 Notes), (vi) with respect to the February 2031 Notes, November 15, 2030 (three months prior to the maturity date of such February 2031 Notes), (vii) with respect to the November 2031 Notes, August 15, 2031 (three months prior to the maturity date of such November 2031 Notes), (viii) with respect to the 2040 Notes, October 15, 2039 (six months prior to the maturity date of such 2040 Notes), (ix) with respect to the 2041 Notes, August 15, 2040 (six months prior to the maturity date of such 2041 Notes), (x) with respect to the 2050 Notes, October 15, 2049 (six months prior to the maturity date of such 2050 Notes), (xi) with respect to the 2051 Notes, August 15, 2050 (six months prior to the maturity date of such 2051 Notes) and (xii) with respect to the 2060 Notes, May 15, 2060 (six months prior to the maturity date of such 2060 Notes).</w:t>
      </w:r>
    </w:p>
    <w:p>
      <w:pPr>
        <w:spacing w:after="0" w:line="6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(1) (A) with respect to the 2025 Notes, the 2027 Notes, the 2030 Notes, the 2040 Notes and the 2050 Notes, each of Barclays Capital Inc., Deutsche Bank Securities Inc. and Goldman Sachs &amp; Co. LLC, and in each case their respective successors, unless any of them ceases to be a primary U.S. Government securities dealer in New York City (a “</w:t>
      </w:r>
      <w:r>
        <w:rPr>
          <w:rFonts w:ascii="Arial" w:cs="Arial" w:eastAsia="Arial" w:hAnsi="Arial"/>
          <w:sz w:val="16"/>
          <w:szCs w:val="16"/>
          <w:i w:val="1"/>
          <w:iCs w:val="1"/>
          <w:color w:val="auto"/>
        </w:rPr>
        <w:t>Primary Treasury Dealer</w:t>
      </w:r>
      <w:r>
        <w:rPr>
          <w:rFonts w:ascii="Arial" w:cs="Arial" w:eastAsia="Arial" w:hAnsi="Arial"/>
          <w:sz w:val="16"/>
          <w:szCs w:val="16"/>
          <w:color w:val="auto"/>
        </w:rPr>
        <w:t>”), in which case we will substitute another Primary Treasury Dealer, as applicable, (B) with respect to the 2026 Notes, the 2028 Notes and the February 2031 Notes, each of Credit Suisse Securities (USA) LLC, Deutsche Bank Securities Inc. and Wells Fargo Securities, LLC, and in each case their respective successors, unless any of them ceases to be a Primary Treasury Dealer, in which case we will substitute another Primary Treasury Dealer, as applicable, (C) with respect to the 2041 Notes and the 2051 Notes, each of Barclays Capital Inc., J.P. Morgan Securities LLC, Morgan Stanley &amp; Co. LLC and RBC Capital Markets, LLC, and in each case their respective successors, unless any of them ceases to be a Primary Treasury Dealer, in which case we will substitute another Primary Treasury Dealer, as applicable, and (D) with respect to the November 2031 Notes and the 2060 Notes, each of Citigroup Global Markets Inc., Credit Suisse Securities (USA) LLC, Deutsche Bank Securities Inc. and Goldman Sachs &amp; Co. LLC, and in each case their respective successors, unless any of them ceases to be a Primary Treasury Dealer, in which case we will substitute another Primary Treasury Dealer, as applicable, and (2) any other Primary Treasury Dealer(s) we select.</w:t>
      </w:r>
    </w:p>
    <w:p>
      <w:pPr>
        <w:spacing w:after="0" w:line="5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average, as determined by the Independent Investment Bank, of the bid and asked prices for the applicable Comparable Treasury Issue (expressed in each case as a percentage of its principal amount) quoted in writing to the Independent Investment Bank by such Reference Treasury Dealer at 5:00 p.m., New York City time, on the third business day preceding such redemption date.</w:t>
      </w:r>
    </w:p>
    <w:p>
      <w:pPr>
        <w:spacing w:after="0" w:line="68"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(i) the yield, calculated as the average of the five most recent daily rates published in the statistical release(s) designated “H.15” or any successor publication which is published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shall be determined and the Treasury Rate shall be interpolated or extrapolated from such yields on a straight line basis, rounding to the nearest month); or (ii) if the release referred to above (or any successor release) is not published during the week preceding the calculation date or does not contain the yields referred to above,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at 5:00 p.m. (New York City time) on the third business day preceding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color w:val="auto"/>
        </w:rPr>
        <w:t>redemption date. As used in the immediately preceding sentence and in the definition of “Reference Treasury Dealer Quotations” above, the term “business day” means any day that is not a Saturday, Sunday or other day on which commercial banks in New York City are authorized or obligated by law or executive order to close.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shall have no responsibility for calculating the redemption price for any Note.</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of a series or portions thereof called for redemption on the applicable redemption date. At or before 10:00 a.m. (New York time) on the redemption date, the Issuer will deposit with the Trustee or a paying agent money sufficient to pay the redemption price of and accrued interest on the Notes to be redeemed on such date. If less than all of the Notes of a series are to be redeemed, the Notes of such series to be redeemed shall be selected in accordance with the procedures of DTC.</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For the avoidance of doubt, the requirement to pay any Make-Whole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Issuer will send a notice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of Notes to which such Change of Control Triggering Event applies and the Trustee describing the transaction or transactions and identifying the rating event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pursuant to the procedures required by the Indenture and described in such notice. The Issuer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14e-1 under the Securities Exchange Act of 1934, as amended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any other securities laws and regulations thereunder to the extent those laws and regulations are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1000" w:right="63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or cause to be delivered to the paying agent the Notes properly accepted together with an officer’s certificate stating the aggregate principal amount of Notes or portions of Notes being purchased by the Issuer.</w:t>
      </w:r>
    </w:p>
    <w:p>
      <w:pPr>
        <w:spacing w:after="0" w:line="7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 xml:space="preserve">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 purchases all Notes of such series properly tendered and not withdrawn under the Change of Control Offer, or (2) notice of redemption with respect to such series has been given pursuant to the Indenture as described above under the caption </w:t>
      </w:r>
      <w:r>
        <w:rPr>
          <w:rFonts w:ascii="Arial" w:cs="Arial" w:eastAsia="Arial" w:hAnsi="Arial"/>
          <w:sz w:val="16"/>
          <w:szCs w:val="16"/>
          <w:i w:val="1"/>
          <w:iCs w:val="1"/>
          <w:color w:val="auto"/>
        </w:rPr>
        <w:t>“</w:t>
      </w:r>
      <w:r>
        <w:rPr>
          <w:rFonts w:ascii="Arial" w:cs="Arial" w:eastAsia="Arial" w:hAnsi="Arial"/>
          <w:sz w:val="16"/>
          <w:szCs w:val="16"/>
          <w:color w:val="auto"/>
        </w:rPr>
        <w:t>—Optional Redemption,” unless and until there is a default in payment of the applicable redemption price.</w:t>
      </w:r>
    </w:p>
    <w:p>
      <w:pPr>
        <w:spacing w:after="0" w:line="58"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spacing w:after="0" w:line="57"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thereon, to, but not including, the redemption date (subject to the right of holders of record on the relevant record date to receive interest due on an interest payment date that is on or prior to the redemption date).</w:t>
      </w:r>
    </w:p>
    <w:p>
      <w:pPr>
        <w:spacing w:after="0" w:line="57"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Parent and its Subsidiaries taken as a whole to another Person or group may be uncertain.</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 xml:space="preserve">If less than all of the Notes of a series are to be redeemed, the Trustee will select Notes of such series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by lot basis unless otherwise required by law or applicable stock exchange or depositary requirements.</w:t>
      </w:r>
    </w:p>
    <w:p>
      <w:pPr>
        <w:spacing w:after="0" w:line="76"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No Notes of $2,000 or less can be redeemed in part. Notices of redemption will be sent electronically or mailed by first class mail at least 15 but not more than 60 days before the redemption date to each holder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78"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Collateral</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Collateral Generally</w:t>
      </w:r>
    </w:p>
    <w:p>
      <w:pPr>
        <w:spacing w:after="0" w:line="117"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 xml:space="preserve">The Issuer, the Secured Guarantors and the Collateral Trustee have entered into the Security Documents in connection with the Credit Agreement and the Original Notes. The Security Documents have been supplemented by Notices of Designation executed by the Issuer and agreed to by the Trustee pursuant to the Intercreditor Agreement (the “Note Notices of Designation”) to establish that the Original Notes and the Note Guarantees with respect thereto (other than the Note Guarantees with respect thereto provided by Sprint Corporation, Sprint Communications, Inc. and Sprint Capital Corporation, which are unsecured) are, and the Exchange Notes and the Note Guarantees with respect thereto (other than the Note Guarantees with respect thereto provided by Sprint Corporation, Sprint Communications, Inc. and Sprint Capital Corporation, which will be unsecured) will be,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under the Credit Agreement, up to $3.5 billion of lease payment obligations under the Existing Sprint Spectrum Lease, obligations under the Designated L/C Facilities and any other permitted First Priority Secured Obligations by perfected first-priority security interests in substantially all of the present and future assets and property of the Issuer and the Secured Guarantors, other than Excluded Assets and subject to Permitted Liens. The first lien secured parties other than the holders of the Notes have rights and remedies with respect to the Collateral that, if exercised, could also adversely affect the value of the Collateral benefiting the holders of the Notes, particularly the rights described below under “—The Collateral Trust and Intercreditor Agreement.”</w:t>
      </w:r>
    </w:p>
    <w:p>
      <w:pPr>
        <w:spacing w:after="0" w:line="72"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The Issuer and the Guarantors are and will be able to incur additional Indebtedness in the future which could share in the Collateral, including First Priority Secured Obligations and obligations secured by Permitted Liens, and the amount of such Indebtedness could be significant. With respect to the Issuer and the Guarantors, the amount of such additional secured obligations will be limited by the covenants described under “—Certain Covenants—Liens.”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Pledged as Collateral</w:t>
      </w:r>
    </w:p>
    <w:p>
      <w:pPr>
        <w:spacing w:after="0" w:line="117"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The Original Notes are, and the Exchange Notes will be, secured by first-priority Liens, subject to Permitted Liens, granted by Parent and any future Subsidiary of Parent that is not a Subsidiary of the Issuer or any other Guarantor that directly or indirectly owns Capital Stock of the Issuer (a “</w:t>
      </w:r>
      <w:r>
        <w:rPr>
          <w:rFonts w:ascii="Arial" w:cs="Arial" w:eastAsia="Arial" w:hAnsi="Arial"/>
          <w:sz w:val="16"/>
          <w:szCs w:val="16"/>
          <w:i w:val="1"/>
          <w:iCs w:val="1"/>
          <w:color w:val="auto"/>
        </w:rPr>
        <w:t>Parent Only Subsidiary</w:t>
      </w:r>
      <w:r>
        <w:rPr>
          <w:rFonts w:ascii="Arial" w:cs="Arial" w:eastAsia="Arial" w:hAnsi="Arial"/>
          <w:sz w:val="16"/>
          <w:szCs w:val="16"/>
          <w:color w:val="auto"/>
        </w:rPr>
        <w:t>”), with respect to the following assets and property, in each case, wherever located and whether now owned or at any time hereafter acquired by Parent or a Parent Only Subsidiary or in which Parent or a Parent Only Subsidiary now has or at any time in the future may acquire any right, title or interest (the “</w:t>
      </w:r>
      <w:r>
        <w:rPr>
          <w:rFonts w:ascii="Arial" w:cs="Arial" w:eastAsia="Arial" w:hAnsi="Arial"/>
          <w:sz w:val="16"/>
          <w:szCs w:val="16"/>
          <w:i w:val="1"/>
          <w:iCs w:val="1"/>
          <w:color w:val="auto"/>
        </w:rPr>
        <w:t>Parent Collateral</w:t>
      </w:r>
      <w:r>
        <w:rPr>
          <w:rFonts w:ascii="Arial" w:cs="Arial" w:eastAsia="Arial" w:hAnsi="Arial"/>
          <w:sz w:val="16"/>
          <w:szCs w:val="16"/>
          <w:color w:val="auto"/>
        </w:rPr>
        <w:t>”):</w:t>
      </w:r>
    </w:p>
    <w:p>
      <w:pPr>
        <w:spacing w:after="0" w:line="16"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Pledged Capital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3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books, records, ledger cards, files, correspondence and similar items that at any time evidence or contain information relating to any of the Parent Collateral or are otherwise necessary or helpful in the collection thereof or realization thereupon; and</w:t>
      </w:r>
    </w:p>
    <w:p>
      <w:pPr>
        <w:spacing w:after="0" w:line="62" w:lineRule="exact"/>
        <w:rPr>
          <w:rFonts w:ascii="Arial" w:cs="Arial" w:eastAsia="Arial" w:hAnsi="Arial"/>
          <w:sz w:val="18"/>
          <w:szCs w:val="18"/>
          <w:color w:val="auto"/>
        </w:rPr>
      </w:pPr>
    </w:p>
    <w:p>
      <w:pPr>
        <w:ind w:left="1000" w:right="519" w:hanging="348"/>
        <w:spacing w:after="0" w:line="27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(as defined in the UCC) and products of any and all of the foregoing.</w:t>
      </w:r>
    </w:p>
    <w:p>
      <w:pPr>
        <w:spacing w:after="0" w:line="2" w:lineRule="exact"/>
        <w:rPr>
          <w:sz w:val="20"/>
          <w:szCs w:val="20"/>
          <w:color w:val="auto"/>
        </w:rPr>
      </w:pPr>
    </w:p>
    <w:p>
      <w:pPr>
        <w:ind w:left="300" w:right="579" w:firstLine="360"/>
        <w:spacing w:after="0" w:line="293" w:lineRule="auto"/>
        <w:rPr>
          <w:sz w:val="20"/>
          <w:szCs w:val="20"/>
          <w:color w:val="auto"/>
        </w:rPr>
      </w:pPr>
      <w:r>
        <w:rPr>
          <w:rFonts w:ascii="Arial" w:cs="Arial" w:eastAsia="Arial" w:hAnsi="Arial"/>
          <w:sz w:val="16"/>
          <w:szCs w:val="16"/>
          <w:color w:val="auto"/>
        </w:rPr>
        <w:t>The Original Notes also are, and the Exchange Notes will also be, secured by first-priority Liens, subject to Permitted Liens, granted by the Issuer and the Secured Guarantors (other than Parent and any Parent Only Subsidiary), with respect to the following assets and property, in each case, wherever located and whether now owned or at any time hereafter acquired by the Issuer and such Secured Guarantors or in which the Issuer or such Secured Guarantors now have or at any time in the future may acquire any right, title or interest (collectively, the “</w:t>
      </w:r>
      <w:r>
        <w:rPr>
          <w:rFonts w:ascii="Arial" w:cs="Arial" w:eastAsia="Arial" w:hAnsi="Arial"/>
          <w:sz w:val="16"/>
          <w:szCs w:val="16"/>
          <w:i w:val="1"/>
          <w:iCs w:val="1"/>
          <w:color w:val="auto"/>
        </w:rPr>
        <w:t>Non-Parent Collateral</w:t>
      </w:r>
      <w:r>
        <w:rPr>
          <w:rFonts w:ascii="Arial" w:cs="Arial" w:eastAsia="Arial" w:hAnsi="Arial"/>
          <w:sz w:val="16"/>
          <w:szCs w:val="16"/>
          <w:color w:val="auto"/>
        </w:rPr>
        <w:t>,” and collectively with the Parent Collateral, the “</w:t>
      </w:r>
      <w:r>
        <w:rPr>
          <w:rFonts w:ascii="Arial" w:cs="Arial" w:eastAsia="Arial" w:hAnsi="Arial"/>
          <w:sz w:val="16"/>
          <w:szCs w:val="16"/>
          <w:i w:val="1"/>
          <w:iCs w:val="1"/>
          <w:color w:val="auto"/>
        </w:rPr>
        <w:t>Collateral</w:t>
      </w:r>
      <w:r>
        <w:rPr>
          <w:rFonts w:ascii="Arial" w:cs="Arial" w:eastAsia="Arial" w:hAnsi="Arial"/>
          <w:sz w:val="16"/>
          <w:szCs w:val="16"/>
          <w:color w:val="auto"/>
        </w:rPr>
        <w:t>”):</w:t>
      </w:r>
    </w:p>
    <w:p>
      <w:pPr>
        <w:spacing w:after="0" w:line="29" w:lineRule="exact"/>
        <w:rPr>
          <w:sz w:val="20"/>
          <w:szCs w:val="20"/>
          <w:color w:val="auto"/>
        </w:rPr>
      </w:pPr>
    </w:p>
    <w:p>
      <w:pPr>
        <w:ind w:left="1000" w:right="79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Accounts, Chattel Paper, Documents, Equipment, Fixtures and other Goods, General Intangibles, Instruments, Inventory, Deposit Accounts, Supporting Obligations, Letter of Credit Rights and Commercial Tort Claims (each as defined in the UCC);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Investment Property, Pledged Debt Securities, Pledged Notes and Pledged Capital Stock;</w:t>
      </w:r>
    </w:p>
    <w:p>
      <w:pPr>
        <w:spacing w:after="0" w:line="90"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all rights of the Issuer and such Secured Guarantors under or relating to any FCC Licenses held by the Issuer and such Secured Guarantors and the proceeds of any FCC Licenses;</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Non-Parent Collateral or are otherwise necessary or helpful in the collection thereof or realization thereupon; and</w:t>
      </w:r>
    </w:p>
    <w:p>
      <w:pPr>
        <w:spacing w:after="0" w:line="66" w:lineRule="exact"/>
        <w:rPr>
          <w:rFonts w:ascii="Arial" w:cs="Arial" w:eastAsia="Arial" w:hAnsi="Arial"/>
          <w:sz w:val="18"/>
          <w:szCs w:val="18"/>
          <w:color w:val="auto"/>
        </w:rPr>
      </w:pPr>
    </w:p>
    <w:p>
      <w:pPr>
        <w:ind w:left="1000" w:right="479" w:hanging="348"/>
        <w:spacing w:after="0" w:line="286"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the extent not otherwise included, all other personal property of the Issuer and the Secured Guarantors and all Proceeds, products, accessions, rents and profits of any and all of the foregoing and all collateral security and guarantees given by any Person with respect to any of the foregoing.</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Excluded Assets</w:t>
      </w:r>
    </w:p>
    <w:p>
      <w:pPr>
        <w:spacing w:after="0" w:line="11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The Collateral excludes (with respect to the Original Notes) and will exclude (with respect to the Exchange Notes), and the Liens granted under the Security Documents will not attach to, the following items of property (collectively, the “</w:t>
      </w:r>
      <w:r>
        <w:rPr>
          <w:rFonts w:ascii="Arial" w:cs="Arial" w:eastAsia="Arial" w:hAnsi="Arial"/>
          <w:sz w:val="18"/>
          <w:szCs w:val="18"/>
          <w:i w:val="1"/>
          <w:iCs w:val="1"/>
          <w:color w:val="auto"/>
        </w:rPr>
        <w:t>Excluded Assets</w:t>
      </w:r>
      <w:r>
        <w:rPr>
          <w:rFonts w:ascii="Arial" w:cs="Arial" w:eastAsia="Arial" w:hAnsi="Arial"/>
          <w:sz w:val="18"/>
          <w:szCs w:val="18"/>
          <w:color w:val="auto"/>
        </w:rPr>
        <w:t>”):</w:t>
      </w:r>
    </w:p>
    <w:p>
      <w:pPr>
        <w:spacing w:after="0" w:line="76" w:lineRule="exact"/>
        <w:rPr>
          <w:sz w:val="20"/>
          <w:szCs w:val="20"/>
          <w:color w:val="auto"/>
        </w:rPr>
      </w:pPr>
    </w:p>
    <w:p>
      <w:pPr>
        <w:ind w:left="1000" w:right="41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owned or leased real property and any interest therein (including any fee or leasehold interests in real property) (it being agreed that neither the Issuer nor any Guarantor shall be required to deliver landlord lien waivers, estoppels, bailee letters or collateral access letters);</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motor vehicles and any other assets subject to a certificate of title, letter of credit rights or commercial tort claims (in each case except to the extent perfection of the security interest therein can be accomplished by the filing of a UCC financing statement) and aircraft and related assets;</w:t>
      </w:r>
    </w:p>
    <w:p>
      <w:pPr>
        <w:spacing w:after="0" w:line="57"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“margin stock” within the meaning of such term under Regulation U as now and from time to time hereafter in effect;</w:t>
      </w:r>
    </w:p>
    <w:p>
      <w:pPr>
        <w:spacing w:after="0" w:line="62" w:lineRule="exact"/>
        <w:rPr>
          <w:rFonts w:ascii="Arial" w:cs="Arial" w:eastAsia="Arial" w:hAnsi="Arial"/>
          <w:sz w:val="18"/>
          <w:szCs w:val="18"/>
          <w:color w:val="auto"/>
        </w:rPr>
      </w:pPr>
    </w:p>
    <w:p>
      <w:pPr>
        <w:ind w:left="1000" w:right="359" w:hanging="348"/>
        <w:spacing w:after="0" w:line="290"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asset (including any Governmental Authorization or any interest therein) if the granting of a security interest or pledge in such asset would be prohibited by any law, rule or regulation or agreements with any Governmental Authority, or by contractual requirement existing on April 1, 2020 or on the date of acquisition of the applicable Subsidiary or asset (in each case, not created in contemplation of the acquisition by the Issuer of such Subsidiary or asset) or would require the consent, approval, license or authorization of any Governmental Authority or other third party (pursuant to such contractual obligation and other than the Issuer or any of its Wholly-Owned Subsidiaries that are “Restricted Subsidiaries” under the Credit Agreement) unless such consent, approval, license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63" w:lineRule="auto"/>
        <w:rPr>
          <w:sz w:val="20"/>
          <w:szCs w:val="20"/>
          <w:color w:val="auto"/>
        </w:rPr>
      </w:pPr>
      <w:r>
        <w:rPr>
          <w:rFonts w:ascii="Arial" w:cs="Arial" w:eastAsia="Arial" w:hAnsi="Arial"/>
          <w:sz w:val="18"/>
          <w:szCs w:val="18"/>
          <w:color w:val="auto"/>
        </w:rPr>
        <w:t>authorization has been received, in each case, after giving effect to the applicable anti-assignment provisions under applicable law (and, in the case of each of the foregoing, for so long as such restriction or any replacement or renewal thereof is in effect);</w:t>
      </w:r>
    </w:p>
    <w:p>
      <w:pPr>
        <w:spacing w:after="0" w:line="76"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Voting Stock of any CFC or FSHCO in excess of 65% of the outstanding Voting Stock of such CFC or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FSHCO;</w:t>
      </w:r>
    </w:p>
    <w:p>
      <w:pPr>
        <w:spacing w:after="0" w:line="102" w:lineRule="exact"/>
        <w:rPr>
          <w:rFonts w:ascii="Arial" w:cs="Arial" w:eastAsia="Arial" w:hAnsi="Arial"/>
          <w:sz w:val="17"/>
          <w:szCs w:val="17"/>
          <w:color w:val="auto"/>
        </w:rPr>
      </w:pPr>
    </w:p>
    <w:p>
      <w:pPr>
        <w:ind w:left="1000" w:right="359" w:hanging="348"/>
        <w:spacing w:after="0" w:line="269"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Equity Interests in (i) any Subsidiary that is at any time designated as an “Unrestricted Subsidiary” (or the equivalent thereof) under the Credit Agreement, (ii) Parent, (iii) any Immaterial Subsidiary, (iv) any Captive Insurance Subsidiary, (v) any not-for-profit subsidiaries, (vi) Designated Tower Entities, (vii) any special purpose entities that are Permitted Receivables Financing Subsidiaries, Permitted Tower Financing Subsidiaries or Permitted Spectrum Financing Subsidiaries other than any Spectrum SPV Equity Interests, (viii) any Person that is not a Wholly-Owned Subsidiary that is a “Restricted Subsidiary” under the Credit Agreement to the extent the granting of a security interest therein would violate the terms of such Person’s organizational documents or any shareholders’ agreement, joint venture agreement or other applicable agreement relating to such Person and (ix) Rule 3-16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any Spectrum SPV Equity Interests that otherwise constitute Excluded Assets have been pledged as security under any other Indebtedness, then such Spectrum SPV Equity Interests shall no longer be Excluded Assets;</w:t>
      </w:r>
    </w:p>
    <w:p>
      <w:pPr>
        <w:spacing w:after="0" w:line="70" w:lineRule="exact"/>
        <w:rPr>
          <w:rFonts w:ascii="Arial" w:cs="Arial" w:eastAsia="Arial" w:hAnsi="Arial"/>
          <w:sz w:val="17"/>
          <w:szCs w:val="17"/>
          <w:color w:val="auto"/>
        </w:rPr>
      </w:pPr>
    </w:p>
    <w:p>
      <w:pPr>
        <w:ind w:left="1000" w:right="77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to the extent a security interest therein cannot be perfected automatically or by the filing of a UCC financing statement, deposit accounts, securities accounts or other similar accounts;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proceeds of Collateral shall be excluded pursuant to this clause (7);</w:t>
      </w:r>
    </w:p>
    <w:p>
      <w:pPr>
        <w:spacing w:after="0" w:line="57" w:lineRule="exact"/>
        <w:rPr>
          <w:rFonts w:ascii="Arial" w:cs="Arial" w:eastAsia="Arial" w:hAnsi="Arial"/>
          <w:sz w:val="17"/>
          <w:szCs w:val="17"/>
          <w:color w:val="auto"/>
        </w:rPr>
      </w:pPr>
    </w:p>
    <w:p>
      <w:pPr>
        <w:ind w:left="1000" w:right="419" w:hanging="348"/>
        <w:spacing w:after="0" w:line="271"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lease, license or other similar agreement (or any rights or interests thereunder), in each case, to the extent that a grant of a security interest therein under the Notes Documents or any other agreement governing First Priority Secured Obligations would violate or invalidate such lease, license or agreement or create a right of termination in favor of any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p>
      <w:pPr>
        <w:spacing w:after="0" w:line="70" w:lineRule="exact"/>
        <w:rPr>
          <w:rFonts w:ascii="Arial" w:cs="Arial" w:eastAsia="Arial" w:hAnsi="Arial"/>
          <w:sz w:val="17"/>
          <w:szCs w:val="17"/>
          <w:color w:val="auto"/>
        </w:rPr>
      </w:pPr>
    </w:p>
    <w:p>
      <w:pPr>
        <w:ind w:left="1000" w:right="359" w:hanging="348"/>
        <w:spacing w:after="0" w:line="272"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Property subject to purchase money security interests, financing leases, or similar arrangements permitted hereunder, to the extent that a grant of security interest therein would violate or invalidate such arrangement or create a right of termination in favor of the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p>
      <w:pPr>
        <w:spacing w:after="0" w:line="69" w:lineRule="exact"/>
        <w:rPr>
          <w:rFonts w:ascii="Arial" w:cs="Arial" w:eastAsia="Arial" w:hAnsi="Arial"/>
          <w:sz w:val="17"/>
          <w:szCs w:val="17"/>
          <w:color w:val="auto"/>
        </w:rPr>
      </w:pPr>
    </w:p>
    <w:p>
      <w:pPr>
        <w:ind w:left="1000" w:right="519" w:hanging="348"/>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assets to the extent a security interest in such assets would result in material adverse tax consequences (including as a result of any law or regulation in any applicable jurisdiction similar to Section 956 of the Internal Revenue Code) as reasonably determined by the Issuer in consultation with the administrative agent under the Credit Agreement;</w:t>
      </w:r>
    </w:p>
    <w:p>
      <w:pPr>
        <w:spacing w:after="0" w:line="78" w:lineRule="exact"/>
        <w:rPr>
          <w:rFonts w:ascii="Arial" w:cs="Arial" w:eastAsia="Arial" w:hAnsi="Arial"/>
          <w:sz w:val="18"/>
          <w:szCs w:val="18"/>
          <w:color w:val="auto"/>
        </w:rPr>
      </w:pPr>
    </w:p>
    <w:p>
      <w:pPr>
        <w:ind w:left="1000" w:right="379" w:hanging="348"/>
        <w:spacing w:after="0" w:line="30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intent-to-use United States trademark applications for which neither (i) an amendment to allege use to bring the application into conformity with 15 U.S.C. § 1051(a) has been filed with and accepted by the United States Patent and Trademark Office, nor (ii) a verified statement of use under 15 U.S.C. § 1051(d) has been filed with and accepted by the United States Patent and Trademark Office;</w:t>
      </w:r>
    </w:p>
    <w:p>
      <w:pPr>
        <w:spacing w:after="0" w:line="49" w:lineRule="exact"/>
        <w:rPr>
          <w:rFonts w:ascii="Arial" w:cs="Arial" w:eastAsia="Arial" w:hAnsi="Arial"/>
          <w:sz w:val="16"/>
          <w:szCs w:val="16"/>
          <w:color w:val="auto"/>
        </w:rPr>
      </w:pPr>
    </w:p>
    <w:p>
      <w:pPr>
        <w:ind w:left="1000" w:right="53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Intellectual Property or rights or licenses therein, in each case other than US Patent Rights and US Trademark Rights, including any Intellectual Property, perfection of a Lien on which requires filing in a jurisdiction outside of the United States;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Permitted Receivables Financing Assets;</w:t>
      </w:r>
    </w:p>
    <w:p>
      <w:pPr>
        <w:spacing w:after="0" w:line="117" w:lineRule="exact"/>
        <w:rPr>
          <w:rFonts w:ascii="Arial" w:cs="Arial" w:eastAsia="Arial" w:hAnsi="Arial"/>
          <w:sz w:val="18"/>
          <w:szCs w:val="18"/>
          <w:color w:val="auto"/>
        </w:rPr>
      </w:pPr>
    </w:p>
    <w:p>
      <w:pPr>
        <w:ind w:left="1000" w:right="57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assets as to which the administrative agent under the Credit Agreement reasonably determines in consultation with the Issuer that the costs of obtaining a security interest are excessive in relation to the value of the security afforded thereby;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99" w:hanging="348"/>
        <w:spacing w:after="0" w:line="286"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assets (including equity interests) sold, conveyed or otherwise transferred to or held by a Permitted Spectrum Financing Subsidiary or a Permitted Tower Financing Subsidiary or otherwise pledged in connection with a Permitted Spectrum Financing or a Permitted Tower Financing;</w:t>
      </w:r>
    </w:p>
    <w:p>
      <w:pPr>
        <w:spacing w:after="0" w:line="57" w:lineRule="exact"/>
        <w:rPr>
          <w:rFonts w:ascii="Arial" w:cs="Arial" w:eastAsia="Arial" w:hAnsi="Arial"/>
          <w:sz w:val="17"/>
          <w:szCs w:val="17"/>
          <w:color w:val="auto"/>
        </w:rPr>
      </w:pPr>
    </w:p>
    <w:p>
      <w:pPr>
        <w:ind w:left="1000" w:right="499" w:hanging="348"/>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avoidance of doubt, any assets held by an Unsecured Guarantor, an Excluded Subsidiary or an Immaterial Subsidiary, except to the extent such Excluded Subsidiary or Immaterial Subsidiary is designated as a Subsidiary Guarantor pursuant to clause (a) of the proviso of the definition of “Excluded Subsidiary”;</w:t>
      </w:r>
    </w:p>
    <w:p>
      <w:pPr>
        <w:spacing w:after="0" w:line="78"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assets of Sprint Corporation or any Subsidiary of Sprint Corporation,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w:t>
      </w:r>
    </w:p>
    <w:p>
      <w:pPr>
        <w:spacing w:after="0" w:line="63" w:lineRule="exact"/>
        <w:rPr>
          <w:rFonts w:ascii="Arial" w:cs="Arial" w:eastAsia="Arial" w:hAnsi="Arial"/>
          <w:sz w:val="17"/>
          <w:szCs w:val="17"/>
          <w:color w:val="auto"/>
        </w:rPr>
      </w:pPr>
    </w:p>
    <w:p>
      <w:pPr>
        <w:ind w:left="1000" w:right="419" w:hanging="348"/>
        <w:spacing w:after="0" w:line="25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FCC Licenses, but only to the extent that at any time the Collateral Trustee may not validly possess a security interest directly in the FCC Licenses pursuant to the Communications Act of 1934, as amended, and the regulations promulgated thereunder, as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maximum extent permitted by law, the economic value of the FCC Licenses, all rights incident or appurtenant to the FCC Licenses and the right to receive all monies, consideration and proceeds derived from or in connection with the sale, assignment or transfer of the FCC Licenses, shall not be excluded pursuant to this clause (18);</w:t>
      </w:r>
    </w:p>
    <w:p>
      <w:pPr>
        <w:spacing w:after="0" w:line="86" w:lineRule="exact"/>
        <w:rPr>
          <w:rFonts w:ascii="Arial" w:cs="Arial" w:eastAsia="Arial" w:hAnsi="Arial"/>
          <w:sz w:val="18"/>
          <w:szCs w:val="18"/>
          <w:color w:val="auto"/>
        </w:rPr>
      </w:pPr>
    </w:p>
    <w:p>
      <w:pPr>
        <w:ind w:left="1000" w:right="479" w:hanging="348"/>
        <w:spacing w:after="0" w:line="285"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any governmental licenses or state or local franchises, license, permits, charters and authorizations, to the extent security interests therein are prohibited or restricted thereby and (ii) any equity in a regulated Subsidiary or any asset owned by a regulated Subsidiary to the extent prohibited by any law, rule or regulation or that would if pledged, in the good faith judgment of Parent, result in adverse regulatory consequences or impair the conduct of the business of Parent or such Subsidiaries, in each of clauses</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(i) and (ii) after giving effect to the applicable anti-assignment provisions of applicable law; and</w:t>
      </w:r>
    </w:p>
    <w:p>
      <w:pPr>
        <w:spacing w:after="0" w:line="102" w:lineRule="exact"/>
        <w:rPr>
          <w:rFonts w:ascii="Arial" w:cs="Arial" w:eastAsia="Arial" w:hAnsi="Arial"/>
          <w:sz w:val="16"/>
          <w:szCs w:val="16"/>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Boost Assets.</w:t>
      </w:r>
    </w:p>
    <w:p>
      <w:pPr>
        <w:spacing w:after="0" w:line="117"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Excluded Assets shall not include any proceeds, substitutions or replacements of any Excluded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referred to in clauses (1) through (20) (unless such proceeds, substitutions or replacements would constitute Excluded Assets referred to in clauses (1) through (20));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assets described above that were deemed “Excluded Assets” as a result of a prohibition or restriction described above shall no longer be “Excluded Assets” upon termination of the applicable prohibition or restriction that caused such assets to be treated as “Excluded Assets.”</w:t>
      </w:r>
    </w:p>
    <w:p>
      <w:pPr>
        <w:spacing w:after="0" w:line="84" w:lineRule="exact"/>
        <w:rPr>
          <w:sz w:val="20"/>
          <w:szCs w:val="20"/>
          <w:color w:val="auto"/>
        </w:rPr>
      </w:pPr>
    </w:p>
    <w:p>
      <w:pPr>
        <w:ind w:left="300" w:right="419" w:firstLine="360"/>
        <w:spacing w:after="0" w:line="253" w:lineRule="auto"/>
        <w:rPr>
          <w:sz w:val="20"/>
          <w:szCs w:val="20"/>
          <w:color w:val="auto"/>
        </w:rPr>
      </w:pPr>
      <w:r>
        <w:rPr>
          <w:rFonts w:ascii="Arial" w:cs="Arial" w:eastAsia="Arial" w:hAnsi="Arial"/>
          <w:sz w:val="18"/>
          <w:szCs w:val="18"/>
          <w:color w:val="auto"/>
        </w:rPr>
        <w:t>Neither the Intercreditor Agreement, the Indenture or any Security Document will require the Issuer or any Guarantor to: (i) perfect any pledges or security interests in the Collateral by any means other than filings under the UCC and the U.S. Patent and Trademark Office with respect to certain registered intellectual property or, where applicable, delivery of share certificates, (ii) deliver deposit or securities account control agreements or otherwise deliver perfection by “control” (within the meaning of the UCC) (except as provided in clause (i) with respect to delivery of share certificates), (iii) take any actions outside of the United States with respect to any assets located outside of the United States; or (iv) take any actions in any jurisdiction other than the United States in connection with pledging Collateral or enter into any collateral documents governed by the laws of any country other than the United States.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After-Acquired Collateral and Further Assurances</w:t>
      </w:r>
    </w:p>
    <w:p>
      <w:pPr>
        <w:spacing w:after="0" w:line="11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If the Issuer or any Secured Guarantor acquires any property or asset of the type that constitutes Collateral and that is not an Excluded Asset, it must promptly grant a security interest upon such property as security for the Notes. The Issuer will, and will cause each Secured Guarantor to, at the expense of the Issuer and such Secured Guarantors, make, execute, endorse, acknowledge, authorize, file and/or deliver to the Trustee or the Collateral Trustee from time to time such documents, assurances or instruments and take such further steps relating to the Collateral covered by any Security Document (other than Excluded Assets and subject to Permitted Liens) as the First Priority Agent may reasonably require to carry out the terms and conditions of the Indenture and the Security Documents and to ensure perfection (to the extent perfection is required under the Security Documents) and priority of the Liens created or intended to be created by the Security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 First Priority Agent is not the agent in respect of any loan agreement, then</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shall be responsible to ensure perfection (to the extent perfection is required under the Security Documents) and priority of the Liens created or intended to be created by the Security Documents.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Sufficiency of Collateral</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fair market value of the Collateral is subject to fluctuations based on factors that include, among others, the condition of Parent’s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would be subject to certain bankruptcy law limitations as described above.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Foreclosure</w:t>
      </w:r>
    </w:p>
    <w:p>
      <w:pPr>
        <w:spacing w:after="0" w:line="117"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Upon the occurrence and during the continuance of an Event of Default,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 In the event of foreclosure on the Collateral, the proceeds from the sale of the Collateral may not be sufficient to satisfy in full the Issuer’s obligations under the Notes.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Certain Bankruptcy Limitations</w:t>
      </w:r>
    </w:p>
    <w:p>
      <w:pPr>
        <w:spacing w:after="0" w:line="117"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The right of the Collateral Trustee to repossess and dispose of the Collateral upon the occurrence of an Event of Default would be significantly impaired (or at a minimum delayed) by applicable Bankruptcy Law in the event that a bankruptcy case were to be commenced by or against the Issuer or the Guarantors prior to the Collateral Trustee having repossessed and disposed of the Collateral (and in some cases, even after). Upon the commencement of a case for relief under the Bankruptcy Code or other applicable Bankruptcy Law, a secured creditor such as the Collateral Trustee is prohibited from repossessing its security from a debtor in a bankruptcy case, or from disposing of security repossessed from the debtor, without prior bankruptcy court approval (which may not be given under the circumstances).</w:t>
      </w:r>
    </w:p>
    <w:p>
      <w:pPr>
        <w:spacing w:after="0" w:line="7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view of the broad equitable powers of a U.S. bankruptcy court and the lack of a precise definition of the term “adequate protection”, it is impossible to predict whether any payments under the Notes could be made following the commencement of or during a bankruptcy case or the length of any potential delay in making any such payments post-petition, whether or when the Collateral Trustee could foreclose upon, repossess or dispose of the Collateral, the value of the Collateral at the time of the bankruptcy petition, or whether or to what extent the holders of the Notes would be compensated for any delay in payment or loss of value of the Collateral. The Bankruptcy Code permits the payment and/or accrual of post-petition interest, costs, expenses, and fees to a secured creditor during a debtor’s bankruptcy case only to the extent the value of the security is determined by the bankruptcy court to exceed the aggregate outstanding principal amount of the obligations secured by the security.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7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 xml:space="preserve">Furthermore, in the event a bankruptcy court determines that the value of the Collateral is not sufficient to repay all amounts due on the Notes (and all other claims that are secured thereby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the holders of the Notes would hold secured claims only to the extent of the value of the Collateral to which the holders are entitled and unsecured claims with respect to such shortfall, which unsecured claims would not be entitled to any adequate protection during a bankruptcy case.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Release</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The Indenture provides that Liens on the Collateral will be automatically and unconditionally released in respect of the Notes of any series:</w:t>
      </w:r>
    </w:p>
    <w:p>
      <w:pPr>
        <w:spacing w:after="0" w:line="62" w:lineRule="exact"/>
        <w:rPr>
          <w:sz w:val="20"/>
          <w:szCs w:val="20"/>
          <w:color w:val="auto"/>
        </w:rPr>
      </w:pPr>
    </w:p>
    <w:p>
      <w:pPr>
        <w:ind w:left="1000" w:right="31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upon payment in full of the principal of, and accrued and unpaid interest and premium, if any, on the Notes of that series;</w:t>
      </w:r>
    </w:p>
    <w:p>
      <w:pPr>
        <w:spacing w:after="0" w:line="62"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upon the legal defeasance, covenant defeasance, or satisfaction and discharge of the Indenture with respect to the Notes of such series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to any property or asset constituting Collateral that is sold or otherwise disposed of by the Issuer or any Secured Guarantor (other than to the Issuer or another Secured Guarantor), directly or indirectly, in a transaction not prohibited by the Indenture at the time of such sale or disposition;</w:t>
      </w:r>
    </w:p>
    <w:p>
      <w:pPr>
        <w:spacing w:after="0" w:line="57"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to any property or assets constituting Collateral owned by a Secured Guarantor that is released from its Note Guarantee in accordance with the Indenture;</w:t>
      </w:r>
    </w:p>
    <w:p>
      <w:pPr>
        <w:spacing w:after="0" w:line="62"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whole or in part, with the consent of holders of the requisite percentage of Notes in accordance with the provisions described below under the caption “—Amendment, Supplement and Waiver”;</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required in accordance with the applicable provisions of the Security Documents and the Intercreditor Agreement;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at the time of an Investment Grade Event Election; and</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to any Collateral at such time as such Collateral does not secure the Obligations under the Existing T-Mobile Secured Notes, the Obligations under the Credit Agreement (including related secured interest rate agreements) (or such Collateral will no longer secure the Obligations under the Existing T-Mobile Secured Notes or the Obligations under the Credit Agreement (including related secured interest rate agreements), substantially concurrently with such release of Liens on such Collateral);</w:t>
      </w:r>
    </w:p>
    <w:p>
      <w:pPr>
        <w:spacing w:after="0" w:line="68" w:lineRule="exact"/>
        <w:rPr>
          <w:sz w:val="20"/>
          <w:szCs w:val="20"/>
          <w:color w:val="auto"/>
        </w:rPr>
      </w:pPr>
    </w:p>
    <w:p>
      <w:pPr>
        <w:ind w:left="300" w:right="459"/>
        <w:spacing w:after="0" w:line="30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any release in whole pursuant to clauses (1) or (2) above, all amounts owing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Trustee under the Indenture with respect to the Notes have been paid or duly provided for.</w:t>
      </w:r>
    </w:p>
    <w:p>
      <w:pPr>
        <w:spacing w:after="0" w:line="38"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Any certificate or opinion required by Section 314(d) of the Trust Indenture Act in connection with obtaining the release of Collateral may be made by an officer of the Issuer, except in cases where Section 314(d) requires that such certificate or opinion be made by an independent engineer, appraiser or other expert.</w:t>
      </w:r>
    </w:p>
    <w:p>
      <w:pPr>
        <w:spacing w:after="0" w:line="41"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8"/>
          <w:szCs w:val="18"/>
          <w:color w:val="auto"/>
        </w:rPr>
        <w:t>Notwithstanding anything to the contrary in this “Description of Notes” section, the Issuer and the Guarantors will not be required to comply with all or any portion of Section 314(d) of the Trust Indenture Act if they determine in good faith that under the terms of that section or any interpretation or guidance as to the meaning thereof of the U.S.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and its staff, including “no action” letters or exemptive orders, all or the relevant portion of Section 314(d) of the Trust Indenture Act is inapplicable to the released Collateral. Certain no action letters issued by the SEC have permitted an indenture qualified under the Trust Indenture Act to contain provisions permitting the release of collateral from liens under such indenture in the ordinary course of the issuer’s business without requiring the issuer to provide certificates and other documents under Section 314(d).</w:t>
      </w:r>
    </w:p>
    <w:p>
      <w:pPr>
        <w:spacing w:after="0" w:line="88"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Without limiting the generality of the foregoing, as permitted under the Trust Indenture Act and interpretations thereof and guidance promulgated with respect thereto, the Issuer and the Secured Guarantors generally may, pursuant to and subject to the terms of the Indenture and the Security Documents, without any release or consent by the Trustee, the Collateral Trustee or the holders, conduct ordinary course activities with respect to the Collateral, such as: (a) selling, transferring, exchanging, abandoning, leasing or otherwise disposing of property subject to the Liens securing the Notes; (b) holding, using, applying, disposing of and otherwise dealing with any cash equivalents, accounts receivable or other amounts from time to time; (c) altering, repairing or replacing property subject to the Liens securing the Notes; and (d) selling, disposing of or transferring any inventory that is Collateral.</w:t>
      </w:r>
    </w:p>
    <w:p>
      <w:pPr>
        <w:spacing w:after="0" w:line="57" w:lineRule="exact"/>
        <w:rPr>
          <w:sz w:val="20"/>
          <w:szCs w:val="20"/>
          <w:color w:val="auto"/>
        </w:rPr>
      </w:pPr>
    </w:p>
    <w:p>
      <w:pPr>
        <w:jc w:val="both"/>
        <w:ind w:left="300" w:right="459" w:firstLine="360"/>
        <w:spacing w:after="0" w:line="311" w:lineRule="auto"/>
        <w:rPr>
          <w:sz w:val="20"/>
          <w:szCs w:val="20"/>
          <w:color w:val="auto"/>
        </w:rPr>
      </w:pPr>
      <w:r>
        <w:rPr>
          <w:rFonts w:ascii="Arial" w:cs="Arial" w:eastAsia="Arial" w:hAnsi="Arial"/>
          <w:sz w:val="16"/>
          <w:szCs w:val="16"/>
          <w:color w:val="auto"/>
        </w:rPr>
        <w:t>The Indenture and the Security Documents provide (in the case of the Original Notes) and will provide (in the case of the Exchange Notes) that, upon the occurrence of such events in accordance with the Security Documents, the Liens securing the Notes will automatically and without the need for any further consent by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color w:val="auto"/>
        </w:rPr>
        <w:t>holders of Notes or the Trustee or the Collateral Trustee or any other action by any Person and subject to applicable law be released with respect to such Collateral. The Collateral Trustee shall, subject to the terms of the Intercreditor Agreement (including the Collateral Trustee’s receipt of any officer’s certificate(s) or opinion(s) of counsel it may be entitled to thereunder) execute such releases, satisfactions or assignments of lien, and take such related actions, as we may reasonably request and prepare.</w:t>
      </w:r>
    </w:p>
    <w:p>
      <w:pPr>
        <w:spacing w:after="0" w:line="68"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The Indenture will require that, if such releases of Collateral occur, the Issuer will deliver to the Trustee and the Collateral Trustee, to the extent required by the Trust Indenture Act or interpretations thereof or guidance promulgated with respect thereto: (a) annual audited financial statements of Parent (which delivery will be deemed to have occurred to the extent such financial statements are filed with the SEC via EDGAR or any successor electronic delivery procedure) no later than the June 30 following the end of each fiscal year of Parent and (b) a certificate by January 15 and July 15 of each year stating that all such dispositions of Collateral occurring during the six months ended December 31 or June 30, respectively, prior to the date of such certificate occurred in the ordinary course of business, were permitted by the Security Documents and that the proceeds of any such dispositions were used as permitted by the Indenture and the Security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Control over Common Collateral and Enforcement of Liens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right of the Collateral Trustee to repossess and dispose of the Collateral upon the occurrence of an Event of Default under the Indenture is subject to the provisions of the Intercreditor Agreement.</w:t>
      </w:r>
    </w:p>
    <w:p>
      <w:pPr>
        <w:spacing w:after="0" w:line="62" w:lineRule="exact"/>
        <w:rPr>
          <w:sz w:val="20"/>
          <w:szCs w:val="20"/>
          <w:color w:val="auto"/>
        </w:rPr>
      </w:pPr>
    </w:p>
    <w:p>
      <w:pPr>
        <w:ind w:left="300" w:right="599" w:firstLine="360"/>
        <w:spacing w:after="0" w:line="279" w:lineRule="auto"/>
        <w:rPr>
          <w:sz w:val="20"/>
          <w:szCs w:val="20"/>
          <w:color w:val="auto"/>
        </w:rPr>
      </w:pPr>
      <w:r>
        <w:rPr>
          <w:rFonts w:ascii="Arial" w:cs="Arial" w:eastAsia="Arial" w:hAnsi="Arial"/>
          <w:sz w:val="17"/>
          <w:szCs w:val="17"/>
          <w:color w:val="auto"/>
        </w:rPr>
        <w:t xml:space="preserve">If the net proceeds of any of the Collateral were not sufficient to repay all amounts due on the Notes and the Indenture (and all other claims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holders of the Notes (to the extent not repaid from the proceeds of the sale of the Collateral) would have only an unsecured claim against the remaining assets of the Issuer and the Secured Guarantors.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Collateral Trust and Intercreditor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Issuer, the Secured Guarantors, the Collateral Trustee, Deutsche Bank AG New York Branch, as</w:t>
      </w:r>
    </w:p>
    <w:p>
      <w:pPr>
        <w:spacing w:after="0" w:line="35" w:lineRule="exact"/>
        <w:rPr>
          <w:sz w:val="20"/>
          <w:szCs w:val="20"/>
          <w:color w:val="auto"/>
        </w:rPr>
      </w:pPr>
    </w:p>
    <w:p>
      <w:pPr>
        <w:ind w:left="300" w:right="299"/>
        <w:spacing w:after="0" w:line="283" w:lineRule="auto"/>
        <w:rPr>
          <w:sz w:val="20"/>
          <w:szCs w:val="20"/>
          <w:color w:val="auto"/>
        </w:rPr>
      </w:pPr>
      <w:r>
        <w:rPr>
          <w:rFonts w:ascii="Arial" w:cs="Arial" w:eastAsia="Arial" w:hAnsi="Arial"/>
          <w:sz w:val="16"/>
          <w:szCs w:val="16"/>
          <w:color w:val="auto"/>
        </w:rPr>
        <w:t>First Priority Agent and as administrative agent under our Credit Agreement (together with its successors (including any administrative agent or entity serving an analogous function under a successor Credit Agreement), the “</w:t>
      </w:r>
      <w:r>
        <w:rPr>
          <w:rFonts w:ascii="Arial" w:cs="Arial" w:eastAsia="Arial" w:hAnsi="Arial"/>
          <w:sz w:val="16"/>
          <w:szCs w:val="16"/>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i w:val="1"/>
          <w:iCs w:val="1"/>
          <w:color w:val="auto"/>
        </w:rPr>
        <w:t>Facility Agent</w:t>
      </w:r>
      <w:r>
        <w:rPr>
          <w:rFonts w:ascii="Arial" w:cs="Arial" w:eastAsia="Arial" w:hAnsi="Arial"/>
          <w:sz w:val="16"/>
          <w:szCs w:val="16"/>
          <w:color w:val="auto"/>
        </w:rPr>
        <w:t>”) and Deutsche Bank Trust Company Americas, as trustee under the Existing Sprint Spectrum Lease,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a Collateral Trust and Intercreditor Agreement (as supplemented by the Note Notices of Designation and as amended, restated, amended and restated, supplemented or otherwise modified from time to time, the “</w:t>
      </w:r>
      <w:r>
        <w:rPr>
          <w:rFonts w:ascii="Arial" w:cs="Arial" w:eastAsia="Arial" w:hAnsi="Arial"/>
          <w:sz w:val="16"/>
          <w:szCs w:val="16"/>
          <w:i w:val="1"/>
          <w:iCs w:val="1"/>
          <w:color w:val="auto"/>
        </w:rPr>
        <w:t>Intercreditor Agreement</w:t>
      </w:r>
      <w:r>
        <w:rPr>
          <w:rFonts w:ascii="Arial" w:cs="Arial" w:eastAsia="Arial" w:hAnsi="Arial"/>
          <w:sz w:val="16"/>
          <w:szCs w:val="16"/>
          <w:color w:val="auto"/>
        </w:rPr>
        <w:t>”). The Trustee is party to the Intercreditor Agreement as a holder representative and indenture trustee under the Notes. The Original Notes are, and the obligations under the Exchange Notes will be, First Priority Secured Obligations. The Intercreditor Agreement sets forth the terms on which the Collateral Trustee will receive, hold, administer, maintain, enforce and distribute the proceeds of all Liens upon any property of the Issuer or any Secured Guarantor at any time held by it, in trust for the benefit of the current and future holders of the First Priority Secured Obligations and future holders of obligations secured by a Lien on the Collateral that is junior to the Lien on the Collateral securing the Notes and the other First Priority Secured Obligations. The Intercreditor Agreement may be amended from time to time without the consent of the holders of the Notes to add other Holder Representatives acting as representative for parties holding First Priority Secured Obligations and Junior Priority Secured Obligations. All references to the First Priority Secured Obligations and Junior Priority Secured Obligations in this section of the Description of Notes shall refer only to such First Priority Secured Obligations and Junior Priority Secured Obligations subject to the Intercreditor Agreement and all references in this section of the Description of Notes to the “</w:t>
      </w:r>
      <w:r>
        <w:rPr>
          <w:rFonts w:ascii="Arial" w:cs="Arial" w:eastAsia="Arial" w:hAnsi="Arial"/>
          <w:sz w:val="16"/>
          <w:szCs w:val="16"/>
          <w:i w:val="1"/>
          <w:iCs w:val="1"/>
          <w:color w:val="auto"/>
        </w:rPr>
        <w:t>Secured Obligations</w:t>
      </w:r>
      <w:r>
        <w:rPr>
          <w:rFonts w:ascii="Arial" w:cs="Arial" w:eastAsia="Arial" w:hAnsi="Arial"/>
          <w:sz w:val="16"/>
          <w:szCs w:val="16"/>
          <w:color w:val="auto"/>
        </w:rPr>
        <w:t>” shall refer to such First Priority Secured Obligations and Junior Priority Secured Obligations. By accepting a Note, each holder of a Note will be deemed to have authorized the Trustee to become party to the Intercreditor Agreement and each holder of a Note (including each subsequent holder) will be bound by the terms of the Intercreditor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Collateral Trustee and the Trust Estate</w:t>
      </w:r>
    </w:p>
    <w:p>
      <w:pPr>
        <w:spacing w:after="0" w:line="117"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Deutsche Bank Trust Company Americas has been appointed pursuant to the Intercreditor Agreement to serve as the collateral trustee for the benefit of the holders of the First Priority Secured Obligations outstanding from time to time, which include the Original Notes and will include the Exchange Notes pursuant to the Intercreditor Agreement. Deutsche Bank Trust Company Americas has also been appointed pursuant to the Intercreditor Agreement to serve as the collateral trustee for the benefit of the holders of the Junior Priority Secured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To secure the payment and performance of the First Priority Secured Obligations, the Issuer and the Secured Guarantors have consented to and the Collateral Trustee has accepted and agreed to hold, in trust under the Intercreditor Agreement for the benefit First Priority Secured Parties, all of its right, title and interest in, to and under the Security Documents and the Collateral granted to the Collateral Trustee thereunder whether now existing or hereafter arising.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Enforcement of Secured Obligations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Upon receipt by a responsible officer of the Collateral Trustee of a Notice of Event of Default, the Collateral Trustee shall promptly notify the Issuer and all the Holder Representatives of the receipt and contents thereof. So long as such Notice of Event of Default is in effect in accordance with the terms of the Intercreditor Agreement, the Collateral Trustee shall exercise the rights and remedies provided in the Intercreditor Agreement and in the Security Documents subject to the direction of the Controlling Party, as provided in the Intercreditor Agreement. A Notice of Event of Default, once effective, shall remain in effect unless and until it is cancelled as provided in the Intercreditor Agreement.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of Powers; Instructions of the Controlling Party</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 xml:space="preserve">The Controlling Party shall at all times have the exclusive right, by one or more notices in writing executed and delivered to the Collateral Trustee, to direct the time, method and place of conducting any proceeding for any right or remedy available to the Collateral Trustee, or of exercising any trust or power conferred on the Collateral Trustee, or for the appointment of a receiver, or to direct the taking or the refraining from taking of any action authorized by the Intercreditor Agreement or any Security Document, in each case without any consultation with, or consent of, any other Holder Representative or Secured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conflict with any requirement of law or the Intercreditor Agreement or any Security Document, (ii) the Collateral Trustee shall be adequately secured and indemnified as provided in the Intercreditor Agreement and (iii) no Collateral Enforcement Action may be taken unless a Notice of Event of Default is in effect. In the absence of such direction, the Collateral Trustee shall have no duty to take or refrain from taking any action unless explicitly required in the Intercreditor Agreement.</w:t>
      </w:r>
    </w:p>
    <w:p>
      <w:pPr>
        <w:spacing w:after="0" w:line="74"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Whether or not any Insolvency Proceeding has been commenced by or against the Issuer or any Secured Guarantor, no Holder Representative or any other Secured Party shall do (and no such Holder Representative or Secured Party (other than the Controlling Party) shall direct the Collateral Trustee to do) any of the following without the consent of the Controlling Party: (i) take any Collateral Enforcement Action or commence, seek to commence or join any other Person in commencing any Insolvency Proceeding; or (ii) object to, contest or take any other action that is reasonably likely to hinder (1) any Collateral Enforcement Action initiated by the Collateral Trustee, (2) any release of Collateral permitted under the Intercreditor Agreement, whether or not done in consultation with or with notice to such Secured Party or (3) any decision by the Controlling Party to forbear or refrain from bringing or pursuing any such Collateral Enforcement Action or to effect any such release.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 on Collateral Trustee’s Duty in Respect of Collateral</w:t>
      </w:r>
    </w:p>
    <w:p>
      <w:pPr>
        <w:spacing w:after="0" w:line="117"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 xml:space="preserve">Beyond its duties (i) as to the custody of the Collateral expressly provided in the Intercreditor Agreement or in any Security Document to which it is a party, (ii) to account to the Secured Parties and the Issuer and the Secured Guarantors for moneys and other property received by it hereunder or under any Security Document to which it is a party and (iii) to exercise reasonable care with respect to any such Collateral in its possession, the Collateral Trustee shall not have any other duty to the Issuer, the Secured Guarantors or to the Secured Parties as to any Collateral or any income thereon or as to the preservation of rights against prior parties or any other rights pertaining thereto;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Collateral Trustee will be deemed to have exercised reasonable care in respect of any Collateral if</w:t>
      </w:r>
      <w:r>
        <w:rPr>
          <w:rFonts w:ascii="Arial" w:cs="Arial" w:eastAsia="Arial" w:hAnsi="Arial"/>
          <w:sz w:val="16"/>
          <w:szCs w:val="16"/>
          <w:i w:val="1"/>
          <w:iCs w:val="1"/>
          <w:color w:val="auto"/>
        </w:rPr>
        <w:t xml:space="preserve"> </w:t>
      </w:r>
      <w:r>
        <w:rPr>
          <w:rFonts w:ascii="Arial" w:cs="Arial" w:eastAsia="Arial" w:hAnsi="Arial"/>
          <w:sz w:val="16"/>
          <w:szCs w:val="16"/>
          <w:color w:val="auto"/>
        </w:rPr>
        <w:t>it exercises the same level of care as it does with respect to collateral held on behalf of third parties in accordance with its standard practices and procedures in effect from time to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Collateral Account; Distributions</w:t>
      </w:r>
    </w:p>
    <w:p>
      <w:pPr>
        <w:spacing w:after="0" w:line="117"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All moneys which are required by the Intercreditor Agreement or any Security Document to be delivered to the Collateral Trustee or which are received by the Collateral Trustee or any agent or nominee of the Collateral Trustee in respect of the Collateral, whether in connection with the exercise of the remedies provided in the Intercreditor Agreement or any Security Document or otherwise, in each case while a Notice of Event of Default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is in effect shall be deposited in a non-interest bearing trust account subject to the exclusive dominion and control of the Collateral Trustee (the “</w:t>
      </w:r>
      <w:r>
        <w:rPr>
          <w:rFonts w:ascii="Arial" w:cs="Arial" w:eastAsia="Arial" w:hAnsi="Arial"/>
          <w:sz w:val="18"/>
          <w:szCs w:val="18"/>
          <w:i w:val="1"/>
          <w:iCs w:val="1"/>
          <w:color w:val="auto"/>
        </w:rPr>
        <w:t>Collateral Account</w:t>
      </w:r>
      <w:r>
        <w:rPr>
          <w:rFonts w:ascii="Arial" w:cs="Arial" w:eastAsia="Arial" w:hAnsi="Arial"/>
          <w:sz w:val="18"/>
          <w:szCs w:val="18"/>
          <w:color w:val="auto"/>
        </w:rPr>
        <w:t>”) and applied in accordance with the terms of the Intercreditor Agreement. Upon the cancellation of all Notices of Event of Default pursuant to the Intercreditor Agreement or the receipt by the Collateral Trustee of any moneys at any time when no Notice of Event of Default is in effect, the Collateral Trustee shall (subject to the terms of the Intercreditor Agreement) cause all funds on deposit in the Collateral Account or otherwise received by the Collateral Trustee to be paid over as promptly as possible to the Issuer or as otherwise directed by the Issuer.</w:t>
      </w:r>
    </w:p>
    <w:p>
      <w:pPr>
        <w:spacing w:after="0" w:line="87"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All moneys held by the Collateral Trustee in the Collateral Account while a Notice of Event of Default is in effect and all proceeds of Collateral received in connection with any Collateral Enforcement Action (including as a result of any collection, sale, foreclosure or other realization or distribution of or in respect of any Collateral (whether or not expressly characterized as such)) or in any Insolvency Proceeding (including any adequate protection payments), shall, to the extent available for distribution, be distributed (subject to the provisions of the Intercreditor Agreement) by the Collateral Trustee on each date of distribution (“</w:t>
      </w:r>
      <w:r>
        <w:rPr>
          <w:rFonts w:ascii="Arial" w:cs="Arial" w:eastAsia="Arial" w:hAnsi="Arial"/>
          <w:sz w:val="17"/>
          <w:szCs w:val="17"/>
          <w:i w:val="1"/>
          <w:iCs w:val="1"/>
          <w:color w:val="auto"/>
        </w:rPr>
        <w:t>Distribution Date</w:t>
      </w:r>
      <w:r>
        <w:rPr>
          <w:rFonts w:ascii="Arial" w:cs="Arial" w:eastAsia="Arial" w:hAnsi="Arial"/>
          <w:sz w:val="17"/>
          <w:szCs w:val="17"/>
          <w:color w:val="auto"/>
        </w:rPr>
        <w:t>”) in the following order of priority (with such distributions being made by the Collateral Trustee to the respective Holder Representative for the Secured Parties entitled thereto as provided in the Intercreditor Agreement, and each such Holder Representative shall be responsible for insuring that amounts distributed to it are distributed to its Secured Parties in the order of priority set forth in the Secured Instruments in respect of which it acts as Holder Representative):</w:t>
      </w:r>
    </w:p>
    <w:p>
      <w:pPr>
        <w:spacing w:after="0" w:line="74" w:lineRule="exact"/>
        <w:rPr>
          <w:sz w:val="20"/>
          <w:szCs w:val="20"/>
          <w:color w:val="auto"/>
        </w:rPr>
      </w:pPr>
    </w:p>
    <w:p>
      <w:pPr>
        <w:ind w:left="660" w:right="419" w:firstLine="360"/>
        <w:spacing w:after="0" w:line="290" w:lineRule="auto"/>
        <w:rPr>
          <w:sz w:val="20"/>
          <w:szCs w:val="20"/>
          <w:color w:val="auto"/>
        </w:rPr>
      </w:pPr>
      <w:r>
        <w:rPr>
          <w:rFonts w:ascii="Arial" w:cs="Arial" w:eastAsia="Arial" w:hAnsi="Arial"/>
          <w:sz w:val="16"/>
          <w:szCs w:val="16"/>
          <w:color w:val="auto"/>
        </w:rPr>
        <w:t>First: to the Collateral Trustee or any co-Collateral Trustee or agent of the Collateral Trustee for any unpaid fees, costs, indemnities and expenses and then to any Secured Party which has theretofore advanced or paid, any fees constituting administrative expenses allowable under Section 503(b) of the Bankruptcy Code or any similar provision of any other applicable Bankruptcy Law,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spacing w:after="0" w:line="57" w:lineRule="exact"/>
        <w:rPr>
          <w:sz w:val="20"/>
          <w:szCs w:val="20"/>
          <w:color w:val="auto"/>
        </w:rPr>
      </w:pPr>
    </w:p>
    <w:p>
      <w:pPr>
        <w:ind w:left="660" w:right="479" w:firstLine="360"/>
        <w:spacing w:after="0" w:line="259" w:lineRule="auto"/>
        <w:rPr>
          <w:sz w:val="20"/>
          <w:szCs w:val="20"/>
          <w:color w:val="auto"/>
        </w:rPr>
      </w:pPr>
      <w:r>
        <w:rPr>
          <w:rFonts w:ascii="Arial" w:cs="Arial" w:eastAsia="Arial" w:hAnsi="Arial"/>
          <w:sz w:val="18"/>
          <w:szCs w:val="18"/>
          <w:color w:val="auto"/>
        </w:rPr>
        <w:t>Second: to the First Priority Agent and any Holder Representative ratably for any unpaid fees, costs, indemnities and expenses payable to it in its capacity as a Holder Representative pursuant to the First Priority Debt Documents (to the extent the same constitute First Priority Secured Obligations) and the Existing Sprint Spectrum Indenture;</w:t>
      </w:r>
    </w:p>
    <w:p>
      <w:pPr>
        <w:spacing w:after="0" w:line="79" w:lineRule="exact"/>
        <w:rPr>
          <w:sz w:val="20"/>
          <w:szCs w:val="20"/>
          <w:color w:val="auto"/>
        </w:rPr>
      </w:pPr>
    </w:p>
    <w:p>
      <w:pPr>
        <w:ind w:left="660" w:right="339" w:firstLine="360"/>
        <w:spacing w:after="0" w:line="273" w:lineRule="auto"/>
        <w:rPr>
          <w:sz w:val="20"/>
          <w:szCs w:val="20"/>
          <w:color w:val="auto"/>
        </w:rPr>
      </w:pPr>
      <w:r>
        <w:rPr>
          <w:rFonts w:ascii="Arial" w:cs="Arial" w:eastAsia="Arial" w:hAnsi="Arial"/>
          <w:sz w:val="17"/>
          <w:szCs w:val="17"/>
          <w:color w:val="auto"/>
        </w:rPr>
        <w:t>Third: to any Secured Party which has theretofore advanced or paid any fees other than such administrative expenses,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spacing w:after="0" w:line="70" w:lineRule="exact"/>
        <w:rPr>
          <w:sz w:val="20"/>
          <w:szCs w:val="20"/>
          <w:color w:val="auto"/>
        </w:rPr>
      </w:pPr>
    </w:p>
    <w:p>
      <w:pPr>
        <w:ind w:left="660" w:right="379" w:firstLine="360"/>
        <w:spacing w:after="0" w:line="285" w:lineRule="auto"/>
        <w:rPr>
          <w:sz w:val="20"/>
          <w:szCs w:val="20"/>
          <w:color w:val="auto"/>
        </w:rPr>
      </w:pPr>
      <w:r>
        <w:rPr>
          <w:rFonts w:ascii="Arial" w:cs="Arial" w:eastAsia="Arial" w:hAnsi="Arial"/>
          <w:sz w:val="16"/>
          <w:szCs w:val="16"/>
          <w:color w:val="auto"/>
        </w:rPr>
        <w:t xml:space="preserve">Fourth: to the holders of First Priority Secured Obligations in an amount equal to the unpaid principal and unpaid interest on and premium and other charges, if any, with respect to the First Priority Secured Obligations and any primary obligations to pay principal, lease payments, guarantee payments, interest, reimbursement obligations, repurchase amounts in respect of transferred assets, fees, prepayment premiums, liquidated damages or termination payments constituting First Priority Initial Spectrum Obligations, the amount of cash collateral required in respect of outstanding letters of credit, termination amounts in respect of Designated Hedging Obligations that constitute Permitted First Priority Non-Loan Exposure, amounts due in respect of Designated Cash Management Obligations that constitute Permitted First Priority Non-Loan Exposure, amounts due in respect of Designated L/C Facility Obligations that constitute Permitted First Priority Non-Loan Exposure, and interest and fees thereon, in each case, to the extent the same are due and payable, as of such Distribution Date, and, if such moneys shall be insufficient to pay such amounts and perform in full, then ratably to such holders in proportion to the unpaid amounts thereof on such Distribution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the commencement of any Insolvency Proceeding with respect to the Issuer or any Secured Guarantor, solely as among the holders of First Priority Secured Obligations and solely for purposes of this clause “Fourth” and not any other First Priority Debt Documents, in the event the value of the Collateral is not sufficient for the entire amount of Post-Petition Interest on the First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499"/>
        <w:spacing w:after="0" w:line="273" w:lineRule="auto"/>
        <w:rPr>
          <w:sz w:val="20"/>
          <w:szCs w:val="20"/>
          <w:color w:val="auto"/>
        </w:rPr>
      </w:pPr>
      <w:r>
        <w:rPr>
          <w:rFonts w:ascii="Arial" w:cs="Arial" w:eastAsia="Arial" w:hAnsi="Arial"/>
          <w:sz w:val="17"/>
          <w:szCs w:val="17"/>
          <w:color w:val="auto"/>
        </w:rPr>
        <w:t>Priority Secured Obligations to be allowed under Section 506(a) and (b) of the Bankruptcy Code or any other applicable provision of the Bankruptcy Code or other Bankruptcy Law in such Insolvency Proceeding, the amount of First Priority Secured Obligations of each series of First Priority Secured Obligations shall include only the maximum amount of Post-Petition Interest on the First Priority Secured Obligations allowable under Section 506(a) and (b) of the Bankruptcy Code or any other applicable provision of the Bankruptcy Code or other Bankruptcy Law in such Insolvency Proceeding;</w:t>
      </w:r>
    </w:p>
    <w:p>
      <w:pPr>
        <w:spacing w:after="0" w:line="70" w:lineRule="exact"/>
        <w:rPr>
          <w:sz w:val="20"/>
          <w:szCs w:val="20"/>
          <w:color w:val="auto"/>
        </w:rPr>
      </w:pPr>
    </w:p>
    <w:p>
      <w:pPr>
        <w:ind w:left="660" w:right="479" w:firstLine="360"/>
        <w:spacing w:after="0" w:line="255" w:lineRule="auto"/>
        <w:rPr>
          <w:sz w:val="20"/>
          <w:szCs w:val="20"/>
          <w:color w:val="auto"/>
        </w:rPr>
      </w:pPr>
      <w:r>
        <w:rPr>
          <w:rFonts w:ascii="Arial" w:cs="Arial" w:eastAsia="Arial" w:hAnsi="Arial"/>
          <w:sz w:val="18"/>
          <w:szCs w:val="18"/>
          <w:color w:val="auto"/>
        </w:rPr>
        <w:t>Fifth: to the holders of First Priority Secured Obligations in an amount equal to all other amounts constituting First Priority Secured Obligations, including but not limited to indemnities and payments for increased costs (but excluding amounts referenced in clause “Fourth” above), in each case to the extent the same are due and payable, as of such Distribution Date, and, if such moneys shall be insufficient to pay such amounts and perform in full, then ratably to such holders in proportion to the unpaid amounts thereof on such Distribution Date;</w:t>
      </w:r>
    </w:p>
    <w:p>
      <w:pPr>
        <w:spacing w:after="0" w:line="84" w:lineRule="exact"/>
        <w:rPr>
          <w:sz w:val="20"/>
          <w:szCs w:val="20"/>
          <w:color w:val="auto"/>
        </w:rPr>
      </w:pPr>
    </w:p>
    <w:p>
      <w:pPr>
        <w:ind w:left="660" w:right="359" w:firstLine="360"/>
        <w:spacing w:after="0" w:line="269" w:lineRule="auto"/>
        <w:rPr>
          <w:sz w:val="20"/>
          <w:szCs w:val="20"/>
          <w:color w:val="auto"/>
        </w:rPr>
      </w:pPr>
      <w:r>
        <w:rPr>
          <w:rFonts w:ascii="Arial" w:cs="Arial" w:eastAsia="Arial" w:hAnsi="Arial"/>
          <w:sz w:val="17"/>
          <w:szCs w:val="17"/>
          <w:color w:val="auto"/>
        </w:rPr>
        <w:t>Sixth: after the payment in full of all First Priority Secured Obligations, to the holders of Junior Priority Secured Obligations in an amount equal to all Junior Priority Secured Obligations which have not been paid, including termination amounts in respect of Designated Hedging Obligations that constitute Permitted Junior Priority Non-Loan Exposure, amounts due in respect of Designated Cash Management Obligations that constitute Permitted Junior Priority Non-Loan Exposure and all other Junior Priority Secured Obligations (including but not limited to the unpaid principal and unpaid interest on and premium and other charges, if any, with respect to such Junior Priority Secured Obligations) then outstanding, in each case to the extent then due and payable, as of such Distribution Date, and, if such moneys shall be insufficient to pay such amounts and perform in full, then ratably to such holders in proportion to the unpaid amounts thereof on such Distribution Date; and</w:t>
      </w:r>
    </w:p>
    <w:p>
      <w:pPr>
        <w:spacing w:after="0" w:line="77" w:lineRule="exact"/>
        <w:rPr>
          <w:sz w:val="20"/>
          <w:szCs w:val="20"/>
          <w:color w:val="auto"/>
        </w:rPr>
      </w:pPr>
    </w:p>
    <w:p>
      <w:pPr>
        <w:jc w:val="both"/>
        <w:ind w:left="660" w:right="439" w:firstLine="360"/>
        <w:spacing w:after="0" w:line="311" w:lineRule="auto"/>
        <w:rPr>
          <w:sz w:val="20"/>
          <w:szCs w:val="20"/>
          <w:color w:val="auto"/>
        </w:rPr>
      </w:pPr>
      <w:r>
        <w:rPr>
          <w:rFonts w:ascii="Arial" w:cs="Arial" w:eastAsia="Arial" w:hAnsi="Arial"/>
          <w:sz w:val="16"/>
          <w:szCs w:val="16"/>
          <w:color w:val="auto"/>
        </w:rPr>
        <w:t>Seventh: after the payment in full of all Junior Priority Secured Obligations, any surplus then remaining shall be paid to the Issuer and the Secured Guarantors or their successors or assigns or to whomsoever may be lawfully entitled to receive the same or as a court of competent jurisdiction may direct.</w:t>
      </w:r>
    </w:p>
    <w:p>
      <w:pPr>
        <w:spacing w:after="0" w:line="4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If any Holder Representative or any holder of any Secured Obligations collects or receives any proceeds of such foreclosure, collection or other enforcement that was not, and should have been, applied to the payment of the Secured Obligations in accordance with the preceding paragraph, whether after the commencement of an Insolvency Proceeding or otherwise, such Holder Representative or such holder of Secured Obligations, as the case may be, will forthwith deliver the same to the Collateral Trustee, for the account of the holders of the Secured Obligations, to be applied in accordance with the preceding paragraph. Until so delivered, such proceeds will be held by that Holder Representative or that holder of Secured Obligations, as the case may be, for the benefit of the holders of the Secured Obligations.</w:t>
      </w:r>
    </w:p>
    <w:p>
      <w:pPr>
        <w:spacing w:after="0" w:line="70"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Notwithstanding the above, any Guarantor or its subsidiaries may, by written notice to the Collateral Trustee, elect to provide additional collateral to the holders of any series of First Priority Secured Obligations, without providing such additional collateral for the benefit of the holders of any other series of First Priority Secured Obligations so long as such provision is not in violation of any of the First Priority Debt Documents (such collateral, the “</w:t>
      </w:r>
      <w:r>
        <w:rPr>
          <w:rFonts w:ascii="Arial" w:cs="Arial" w:eastAsia="Arial" w:hAnsi="Arial"/>
          <w:sz w:val="16"/>
          <w:szCs w:val="16"/>
          <w:i w:val="1"/>
          <w:iCs w:val="1"/>
          <w:color w:val="auto"/>
        </w:rPr>
        <w:t>Specified Collateral</w:t>
      </w:r>
      <w:r>
        <w:rPr>
          <w:rFonts w:ascii="Arial" w:cs="Arial" w:eastAsia="Arial" w:hAnsi="Arial"/>
          <w:sz w:val="16"/>
          <w:szCs w:val="16"/>
          <w:color w:val="auto"/>
        </w:rPr>
        <w:t>” and such obligations, the “</w:t>
      </w:r>
      <w:r>
        <w:rPr>
          <w:rFonts w:ascii="Arial" w:cs="Arial" w:eastAsia="Arial" w:hAnsi="Arial"/>
          <w:sz w:val="16"/>
          <w:szCs w:val="16"/>
          <w:i w:val="1"/>
          <w:iCs w:val="1"/>
          <w:color w:val="auto"/>
        </w:rPr>
        <w:t>Specified First Priority Secured Obligations</w:t>
      </w:r>
      <w:r>
        <w:rPr>
          <w:rFonts w:ascii="Arial" w:cs="Arial" w:eastAsia="Arial" w:hAnsi="Arial"/>
          <w:sz w:val="16"/>
          <w:szCs w:val="16"/>
          <w:color w:val="auto"/>
        </w:rPr>
        <w:t>”). The proceeds of any Specified Collateral shall be distributed (in the manner set forth above) solely to Secured Parties that are holders of the applicable Specified First Priority Secured Obligations and shall not be distributed to any other Secured Party.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Supplements and Waivers</w:t>
      </w:r>
    </w:p>
    <w:p>
      <w:pPr>
        <w:spacing w:after="0" w:line="117" w:lineRule="exact"/>
        <w:rPr>
          <w:sz w:val="20"/>
          <w:szCs w:val="20"/>
          <w:color w:val="auto"/>
        </w:rPr>
      </w:pPr>
    </w:p>
    <w:p>
      <w:pPr>
        <w:ind w:left="300" w:right="519" w:firstLine="360"/>
        <w:spacing w:after="0" w:line="288" w:lineRule="auto"/>
        <w:rPr>
          <w:sz w:val="20"/>
          <w:szCs w:val="20"/>
          <w:color w:val="auto"/>
        </w:rPr>
      </w:pPr>
      <w:r>
        <w:rPr>
          <w:rFonts w:ascii="Arial" w:cs="Arial" w:eastAsia="Arial" w:hAnsi="Arial"/>
          <w:sz w:val="16"/>
          <w:szCs w:val="16"/>
          <w:color w:val="auto"/>
        </w:rPr>
        <w:t>So long as not in violation of any applicable Secured Instrument (as certified by the Issuer or the applicable guarantor to the Collateral Trustee), the Collateral Trustee, the Issuer and the Secured Guarantors may, with the written consent of the Controlling Party or, in the case of Junior Priority Security Documents, the Junior Priority Agent (and, if the Controlling Party or the Junior Priority Agent, as applicable, provides written consent to such amendment (on which the Collateral Trustee shall have no liability for relying), the Collateral Trustee shall), from time to time, enter into (x) written agreements supplemental to the Intercreditor Agreement or to any Security Document for the purpose of adding to, amending, waiving, or otherwise modifying any provisions of the Intercreditor Agreement or any Security Document or changing in any manner the rights or priorities of the Collateral Trustee, the Secured Parties, the Issuer or the Secured Guarantors under the Intercreditor Agreement or thereunder or (y) additional Security Documents securing First Priority Secured Obligations or Junior Priority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4" w:lineRule="auto"/>
        <w:rPr>
          <w:sz w:val="20"/>
          <w:szCs w:val="20"/>
          <w:color w:val="auto"/>
        </w:rPr>
      </w:pPr>
      <w:r>
        <w:rPr>
          <w:rFonts w:ascii="Arial" w:cs="Arial" w:eastAsia="Arial" w:hAnsi="Arial"/>
          <w:sz w:val="16"/>
          <w:szCs w:val="16"/>
          <w:color w:val="auto"/>
        </w:rPr>
        <w:t xml:space="preserve">Secured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supplemental agreement shall (i) amend, modify or waive any provision of the section on amendments in the Intercreditor Agreement without the written consent of each Holder Representative, (ii) reduce the percentages or change the numbers specified in or otherwise amend certain specified definitions or otherwise change the relative rights or priorities of the Secured Parties under the Intercreditor Agreement in respect of payments or Collateral without the written consent of the Controlling Party and the Holder Representative of any series of First Priority Secured Obligations whose rights or priorities could reasonably be expected to be adversely affected thereby, (iii) amend, modify or waive any provision of the section on junior lien intercreditor provisions in the Intercreditor Agreement without the written consent of the Junior Priority Agent if any Junior Priority Debt Obligations are then outstanding, but only if the relative rights or priorities of the Junior Priority Secured Parties in respect of such Junior Priority Debt Obligations could reasonably be expected to be adversely affected thereby, (iv)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 or (v) amend, modify or waive any provision of the Intercreditor Agreement relating to the Collateral Trustee or alter the duties, rights, privileges, protections, indemnities, immunities or obligations of the Collateral Trustee under the Intercreditor Agreement or under the Trust Security Documents without the written consent of the Collateral Trustee. In the event that there is an amendment, modification or waiver to the First Priority Security Documents in accordance with the terms hereof, then such amendment, modification or waiver shall apply automatically to any comparable provision of the comparable Junior Priority Security Documents without the consent of any Junior Priority Secured Parties and without any action by any Holder Representative in respect of Junior Priority Secured Obligations or any Grantor (as defined in the Collateral Agreement).</w:t>
      </w:r>
    </w:p>
    <w:p>
      <w:pPr>
        <w:spacing w:after="0" w:line="29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 xml:space="preserve">Notwithstanding anything else to the contrary in the Intercreditor Agreement, solely with the consent of the Controlling Party or, in the case of the Junior Priority Security Documents, the Junior Priority Agent (and without the consent of any other Secured Party), the Collateral Trustee, the Issuer and any of the Secured Guarantors, at any time and from time to time, may enter into one or more agreements supplemental to the Indenture or to any Security Document, in form satisfactory to the Collateral Trustee, which supplemental agreements may add to, amend, waive, or otherwise modify any provisions of such documents, (i) to add to the covenants of the Issuer or such Secured Guarantor for the benefit of the Secured Parties or to surrender any right or power in the Intercreditor Agreement conferred upon the Issuer or such Secured Guarantor (so long as such addition or surrender applies to all Secured Parties within a Class to the extent applicable); (ii) to mortgage or pledge to the Collateral Trustee, or grant or perfect a security interest in favor of the Collateral Trustee in, any property or assets, including as additional security, for the Secured Obligations; or (iii) to cure any ambiguity, omission or mistake, to correct or supplement any provision in the Intercreditor Agreement or in any Security Document which may be defective or inconsistent with any other provision in the Intercreditor Agreement, to effect administrative changes of a technical or immaterial nature or to make any other provision with respect to matters or questions arising under the Intercreditor Agreement which shall not be inconsistent with any provision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supplemental agreement shall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and Release</w:t>
      </w:r>
    </w:p>
    <w:p>
      <w:pPr>
        <w:spacing w:after="0" w:line="117"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 xml:space="preserve">Upon receipt by the Collateral Trustee (x) from the Controlling Party of written directions to cause the Liens created by the Intercreditor Agreement and by the Security Documents to be released and discharged,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have delivered a certificate of a responsible officer of the Issuer to the Collateral Trustee certifying that (i) such release of the Collateral is permitted under, and does not violate the terms of, the First Priority Debt Documents and the Junior Priority Debt Documents, if any, and (ii) all conditions precedent to such release of the Collateral have been (or, substantially contemporaneously with such action, shall be) satisfied or (y) of written notices from each Holder Representative stating that the conditions for release in connection with the termination of the applicable First Priority Debt Documents or the applicable Junior Priority Debt Documents, if any, as the case may be, have been satisfied, the security interests created by the Intercreditor Agreement and by the Security Documents shall terminate forthwith and all right, title and interest of the Collateral Trustee in and to the Collateral shall revert to the Secured Guarantors, their successors and assigns.</w:t>
      </w:r>
    </w:p>
    <w:p>
      <w:pPr>
        <w:spacing w:after="0" w:line="64" w:lineRule="exact"/>
        <w:rPr>
          <w:sz w:val="20"/>
          <w:szCs w:val="20"/>
          <w:color w:val="auto"/>
        </w:rPr>
      </w:pPr>
    </w:p>
    <w:p>
      <w:pPr>
        <w:ind w:left="300" w:right="399" w:firstLine="360"/>
        <w:spacing w:after="0" w:line="342" w:lineRule="auto"/>
        <w:rPr>
          <w:sz w:val="20"/>
          <w:szCs w:val="20"/>
          <w:color w:val="auto"/>
        </w:rPr>
      </w:pPr>
      <w:r>
        <w:rPr>
          <w:rFonts w:ascii="Arial" w:cs="Arial" w:eastAsia="Arial" w:hAnsi="Arial"/>
          <w:sz w:val="16"/>
          <w:szCs w:val="16"/>
          <w:color w:val="auto"/>
        </w:rPr>
        <w:t>Upon the sale or other disposition of all the Capital Stock of a Secured Guarantor to any Person (other than the Issuer or another Secured Guarantor) in a transaction permitted (or not prohibited, as the case may be) by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First Priority Debt Documents and the Junior Priority Debt Documents, if any, or upon such Secured Guarantor ceasing to be a guarantor as permitted (or not prohibited, as the case may be) by each such document: (i) such Secured Guarantor and each Subsidiary of such Secured Guarantor which is included in such sale or other disposition or which so ceases to be a guarantor (such Secured Guarantor and each such Subsidiary being referred to in the Intercreditor Agreement as “</w:t>
      </w:r>
      <w:r>
        <w:rPr>
          <w:rFonts w:ascii="Arial" w:cs="Arial" w:eastAsia="Arial" w:hAnsi="Arial"/>
          <w:sz w:val="17"/>
          <w:szCs w:val="17"/>
          <w:i w:val="1"/>
          <w:iCs w:val="1"/>
          <w:color w:val="auto"/>
        </w:rPr>
        <w:t>Included Grantors</w:t>
      </w:r>
      <w:r>
        <w:rPr>
          <w:rFonts w:ascii="Arial" w:cs="Arial" w:eastAsia="Arial" w:hAnsi="Arial"/>
          <w:sz w:val="17"/>
          <w:szCs w:val="17"/>
          <w:color w:val="auto"/>
        </w:rPr>
        <w:t>”) shall cease to be a Secured Guarantor under the Intercreditor Agreement or a party to any Security Document and shall be released automatically from its obligations pursuant thereto and the security interests created by the Security Documents entered into by such Included Grantors in all right, title and interest of such Included Grantors in the Collateral, and the security interests created by the Security Documents in the Capital Stock of such Secured Guarantor, shall terminate automatically, in each case only with respect to such Included Grantors and such Capital Stock.</w:t>
      </w:r>
    </w:p>
    <w:p>
      <w:pPr>
        <w:spacing w:after="0" w:line="7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Upon the sale or other disposition of all or any portion of the Collateral to any Person (other than the Issuer or a Secured Guarantor) in a transaction permitted (or not prohibited, as the case may be) by the First Priority Debt Documents and the Junior Priority Debt Documents, if any, (including pursuant to any consent to such sale and/or release of the security interest in such Collateral pursuant to the terms thereof), the security interests created by the Security Documents in such Collateral shall terminate and such Collateral shall be automatically released from the Lien created by the Security Documents.</w:t>
      </w:r>
    </w:p>
    <w:p>
      <w:pPr>
        <w:spacing w:after="0" w:line="84"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Without limiting the preceding two paragraphs, upon receipt by the Collateral Trustee of (i) written notice from the Controlling Party directing the Collateral Trustee to cause the Liens on a portion of the Collateral identified in such notice to be released and discharged and (ii) a certificate of the Issuer confirming that the Collateral identified in such notice in clause (i) above does not constitute all or substantially all of the Collateral and is permitted to be released under the First Priority Debt Documents and Junior Priority Debt Documents, if any, the security interests created by the Security Documents in such Collateral shall terminate forthwith and all right, title and interest of the Collateral Trustee in and to such Collateral shall revert to the Secured Guarantors, their successors and assigns.</w:t>
      </w:r>
    </w:p>
    <w:p>
      <w:pPr>
        <w:spacing w:after="0" w:line="58"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Notwithstanding any of the foregoing, if the Collateral Trustee is exercising its rights or remedies with respect to the Collateral under the Security Documents in accordance with the Intercreditor Agreement, and the Collateral Trustee releases any of the Liens securing any Secured Obligations on any part of the Collateral, then all the Liens securing the Secured Obligations on such Collateral shall be automatically, unconditionally and simultaneously released (and the Collateral Trustee shall take any actions reasonably requested by the Issuer to evidence the release of such Liens).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Intercreditor Provisions relating to Junior Priority Debt</w:t>
      </w:r>
    </w:p>
    <w:p>
      <w:pPr>
        <w:spacing w:after="0" w:line="117"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 xml:space="preserve">Any and all Liens now existing or hereafter created or arising in favor of any such Junior Priority Secured Party securing or purporting to secure the Junior Priority Secured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or purporting to secure the First Priority Secured Obligations. No Junior Priority Secured Party shall (i) object to or contest, or support any other Person in contesting or objecting to, in any proceeding (including without limitation, any Insolvency Proceeding), the validity, extent, perfection, priority or enforceability of any security interest in the Collateral granted to, or the allowability of any claims asserted by, any First Priority Secured Party; (ii) prior to the payment and performance in full of the First Priority Secured Obligations, assert, demand, request, plead or otherwise claim the benefit of, any marshalling, appraisal, valuation and any other right that may otherwise be available under any applicable requirement of law with respect to any Collateral to a creditor in its capacity as beneficiary of a junior lien on such Collateral; (iii) in or in connection with any Insolvency Proceeding, file any pleadings or motions, take any position at any hearing or proceeding of any nature, or otherwise take any action whatsoever, in each case in respect of any of the Collateral, including, without limitation, with respect to the determination of any Liens or claims held by any First Priority Secured Party or the value of any claims of such parties under Section 506(a) of the Bankruptcy Code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Junior Priority Secured Party may file a proof of claim in an Insolvency Proceeding, subject to the limitations contained in the Intercreditor Agreement and only if consistent with the terms and the limitations on such Junior Priority Secured Party imposed by the Intercreditor Agreement; or (iv) seek relief from the automatic stay or from any other stay in any Insolvency Proceeding or take any action in derogation thereof, in each case in respect of any Collateral, without the prior written consent of the Majority First Priority Secured Parties. Until the First Priority Secured Obligations have been paid and performed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59" w:lineRule="auto"/>
        <w:rPr>
          <w:sz w:val="20"/>
          <w:szCs w:val="20"/>
          <w:color w:val="auto"/>
        </w:rPr>
      </w:pPr>
      <w:r>
        <w:rPr>
          <w:rFonts w:ascii="Arial" w:cs="Arial" w:eastAsia="Arial" w:hAnsi="Arial"/>
          <w:sz w:val="18"/>
          <w:szCs w:val="18"/>
          <w:color w:val="auto"/>
        </w:rPr>
        <w:t>in full, none of the Issuer or the Secured Guarantors shall grant or permit any additional Liens on any asset or property of the Issuer or such Secured Guarantor to secure any Junior Priority Secured Obligation unless it has granted, or concurrently therewith grants, a Lien on such asset or property of Issuer or such Secured Guarantor to secure the First Priority Secured Obligations.</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Intercreditor Provisions relating to First Priority Secured Obligations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Notwithstanding the date, time, method, manner or order of grant, attachment or perfection of any Liens securing any series of First Priority Secured Obligations granted on the Collateral and notwithstanding any provision of the Uniform Commercial Code of any jurisdiction, or any other applicable law or the First Priority Debt Documents or any defect or deficiencies in the Liens securing the First Priority Secured Obligations or any series of First Priority Secured Obligations or any other circumstance whatsoever, each First Priority Secured Party agrees in the Intercreditor Agreement that the Liens securing each series of First Priority Secured Obligations on any Collateral shall be of equal priority.</w:t>
      </w:r>
    </w:p>
    <w:p>
      <w:pPr>
        <w:spacing w:after="0" w:line="8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It is the intention of the First Priority Secured Parties of each series of First Priority Secured Obligations that the holders of such series of First Priority Secured Obligations (and not the holders of any other series of First Priority Secured Obligations) bear the risk of (i) any determination by a court of competent jurisdiction that (x) any of the First Priority Secured Obligations of such series of First Priority Secured Obligations are unenforceable under applicable law or are subordinated to any other obligations (other than another series of First Priority Secured Obligations), (y) any of the First Priority Secured Obligations of such series do not have an enforceable security interest in any of the Collateral securing any other series of First Priority Secured Obligations and/or (z) any intervening security interest exists securing any other obligations (other than another series of First Priority Secured Obligations) on a basis ranking prior to the security interest of such series of First Priority Secured Obligations but junior to the security interest of any other series of First Priority Secured Obligations or (ii) the existence of any collateral for any other series of First Priority Secured Obligations that is not Collateral (any such condition referred to in the foregoing clauses (i) or (ii) with respect to any series of First Priority Secured Obligations, an “</w:t>
      </w:r>
      <w:r>
        <w:rPr>
          <w:rFonts w:ascii="Arial" w:cs="Arial" w:eastAsia="Arial" w:hAnsi="Arial"/>
          <w:sz w:val="16"/>
          <w:szCs w:val="16"/>
          <w:i w:val="1"/>
          <w:iCs w:val="1"/>
          <w:color w:val="auto"/>
        </w:rPr>
        <w:t>Impairment</w:t>
      </w:r>
      <w:r>
        <w:rPr>
          <w:rFonts w:ascii="Arial" w:cs="Arial" w:eastAsia="Arial" w:hAnsi="Arial"/>
          <w:sz w:val="16"/>
          <w:szCs w:val="16"/>
          <w:color w:val="auto"/>
        </w:rPr>
        <w:t>” of such series). In the event of any Impairment with respect to any series of First Priority Secured Obligations, the results of such Impairment shall be borne solely by the holders of such series of First Priority Secured Obligations, and the rights of the holders of such series of First Priority Secured Obligations set forth in the Intercreditor Agreement shall be modified to the extent necessary so that the effects of such Impairment are borne solely by the holders of the series of such First Priority Secured Obligations subject to such Impairment. Additionally, in the event the First Priority Secured Obligations of any series are modified pursuant to applicable law (including, without limitation, pursuant to Section 1129 of the Bankruptcy Code), any reference to such series of First Priority Secured Obligations or the First Priority Debt Documents governing such series of First Priority Secured Obligations shall refer to such obligations or such documents as so modified.</w:t>
      </w:r>
    </w:p>
    <w:p>
      <w:pPr>
        <w:spacing w:after="0" w:line="72"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If the Issuer and/or any Secured Guarantor shall become the subject of any Insolvency Proceeding and shall, as debtor(s)-in-possession, move for approval of DIP Financing to be provided by one or more lenders (the “</w:t>
      </w:r>
      <w:r>
        <w:rPr>
          <w:rFonts w:ascii="Arial" w:cs="Arial" w:eastAsia="Arial" w:hAnsi="Arial"/>
          <w:sz w:val="16"/>
          <w:szCs w:val="16"/>
          <w:i w:val="1"/>
          <w:iCs w:val="1"/>
          <w:color w:val="auto"/>
        </w:rPr>
        <w:t>DIP</w:t>
      </w:r>
      <w:r>
        <w:rPr>
          <w:rFonts w:ascii="Arial" w:cs="Arial" w:eastAsia="Arial" w:hAnsi="Arial"/>
          <w:sz w:val="16"/>
          <w:szCs w:val="16"/>
          <w:color w:val="auto"/>
        </w:rPr>
        <w:t xml:space="preserve"> </w:t>
      </w:r>
      <w:r>
        <w:rPr>
          <w:rFonts w:ascii="Arial" w:cs="Arial" w:eastAsia="Arial" w:hAnsi="Arial"/>
          <w:sz w:val="16"/>
          <w:szCs w:val="16"/>
          <w:i w:val="1"/>
          <w:iCs w:val="1"/>
          <w:color w:val="auto"/>
        </w:rPr>
        <w:t>Lenders</w:t>
      </w:r>
      <w:r>
        <w:rPr>
          <w:rFonts w:ascii="Arial" w:cs="Arial" w:eastAsia="Arial" w:hAnsi="Arial"/>
          <w:sz w:val="16"/>
          <w:szCs w:val="16"/>
          <w:color w:val="auto"/>
        </w:rPr>
        <w:t>”) and/or the use of cash collateral under Section 363 of the Bankruptcy Code or any equivalent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Bankruptcy Law, each First Priority Secured Party (other than any Controlling Party) agrees that it will raise no objection to any such DIP Financing or to the Liens on the Collateral securing the same (“</w:t>
      </w:r>
      <w:r>
        <w:rPr>
          <w:rFonts w:ascii="Arial" w:cs="Arial" w:eastAsia="Arial" w:hAnsi="Arial"/>
          <w:sz w:val="16"/>
          <w:szCs w:val="16"/>
          <w:i w:val="1"/>
          <w:iCs w:val="1"/>
          <w:color w:val="auto"/>
        </w:rPr>
        <w:t>DIP 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Liens</w:t>
      </w:r>
      <w:r>
        <w:rPr>
          <w:rFonts w:ascii="Arial" w:cs="Arial" w:eastAsia="Arial" w:hAnsi="Arial"/>
          <w:sz w:val="16"/>
          <w:szCs w:val="16"/>
          <w:color w:val="auto"/>
        </w:rPr>
        <w:t>”) or to any use of cash collateral that constitutes Collateral, unless the Controlling Party shall then oppose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object to such DIP Financing or such DIP Financing Liens and/or use of cash collateral (and (i) to the extent that such DIP Financing Liens are senior to the Liens on any such Collateral for the benefit of the Controlling Party, each First Priority Secured Party (other than the Controlling Party) will subordinate its Liens with respect to such Collateral on the same terms as the Liens of the Controlling Party (other than any Liens of any First Priority Secured Parties constituting DIP Financing Liens) are subordinated thereto, and (ii) to the extent that such DIP Financing Liens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any such Collateral granted to secure the First Priority Secured Obligations of the Controlling Party, each First Priority Secured Party (other than the Controlling Party) will confirm the priorities with respect to such Collateral as set forth in the Intercreditor Agreement), in each case so long as (A) the First Priority Secured Parties of each series of First Priority Secured Obligations retain the benefit of their Liens on all such Collateral pledged to the DIP Lenders, including proceeds thereof arising after the commencement of such Insolvency Proceeding, with the same priority vis-a-vis all the other First Priority Secured Parties (other than any Liens of the First Priority Secured Parties constituting DIP Financing Liens) as existed prior to the commencement of the Insolvency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 xml:space="preserve">Proceeding, (B) the First Priority Secured Parties of each series of First Priority Secured Obligations are granted Liens on any additional or replacement collateral pledged to any First Priority Secured Parties as adequate protection or otherwise in connection with such DIP Financing and/or use of cash collateral, with the same priority vis-a-vis the First Priority Secured Parties (other than any Liens of the First Priority Secured Parties constituting DIP Financing Liens) as set forth in the Intercreditor Agreement, (C) if any amount of such DIP Financing and/or cash collateral is applied to repay any of the First Priority Secured Obligations, such amount is applied pursuant to the Intercreditor Agreement, and (D) if any First Priority Secured Parties are granted adequate protection, including in the form of periodic payments, in connection with such DIP Financing and/or use of cash collateral, the proceeds of such adequate protection are applied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First Priority Secured Parties of each series of First Priority Secured Obligations shall have a right to object to the grant of a Lien to secure the DIP Financing over any Collateral subject to Liens in favor of the First Priority Secured Parties of such series of First Priority Secured Obligations or its Holder Representative that shall not constitute Collateral;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First Priority Secured Parties receiving adequate protection shall not object to any other First</w:t>
      </w:r>
      <w:r>
        <w:rPr>
          <w:rFonts w:ascii="Arial" w:cs="Arial" w:eastAsia="Arial" w:hAnsi="Arial"/>
          <w:sz w:val="17"/>
          <w:szCs w:val="17"/>
          <w:i w:val="1"/>
          <w:iCs w:val="1"/>
          <w:color w:val="auto"/>
        </w:rPr>
        <w:t xml:space="preserve"> </w:t>
      </w:r>
      <w:r>
        <w:rPr>
          <w:rFonts w:ascii="Arial" w:cs="Arial" w:eastAsia="Arial" w:hAnsi="Arial"/>
          <w:sz w:val="17"/>
          <w:szCs w:val="17"/>
          <w:color w:val="auto"/>
        </w:rPr>
        <w:t>Priority Secured Party receiving adequate protection comparable to any adequate protection granted to such First Priority Secured Parties (other than as a provider of DIP Financing) in connection with a DIP Financing and/or use of cash collateral.</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Prior to the occurrence of an Investment Grade Event Election, the Issuer will not, and will not permit any Subsidiary Guarantor to, directly or indirectly, create, incur or assume any Lien securing Indebtedness for Borrowed Money upon any Collateral or any Principal Property now owned or hereafter acquired, except Permitted Liens.</w:t>
      </w:r>
    </w:p>
    <w:p>
      <w:pPr>
        <w:spacing w:after="0" w:line="41"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Indebtedness of any Material Subsidiary that directly owns any Principal Property, except Permitted Post-Release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spacing w:after="0" w:line="57"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For purposes of determining compliance with this “Liens” covenant, (x) a Lien need not be incurred solely by reference to one category of Permitted Liens or Permitted Post-Release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Post-Release Liens, as applicable, the Issuer shall, in its sole discretion, divide, classify or may subsequently reclassify at any time such Lien (or any portion thereof) in any manner that complies with this “Liens” covenant and the definition of “Permitted Liens” or “Permitted Post-Release Liens,” as applicable.</w:t>
      </w:r>
    </w:p>
    <w:p>
      <w:pPr>
        <w:spacing w:after="0" w:line="84"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This “Liens” covenant requires only equal and ratable treatment in the application of proceeds of Collateral and does not require that the Trustee or the Collateral Trustee have any ability to control the Collateral or the enforcement of remedies.</w:t>
      </w:r>
    </w:p>
    <w:p>
      <w:pPr>
        <w:spacing w:after="0" w:line="76"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Notwithstanding anything to the contrary in this “Liens” covenant, and solely to the extent any Spectrum SPV Equity Interests constitute Excluded Assets pursuant to clause (6) of the definition of “Excluded Assets”, the Issuer will not, and will not permit any “Restricted Subsidiary” under the Credit Agreement to, directly or indirectly, create, incur or assume any Lien on such Spectrum SPV Equity Interests securing Indebtedness unless (i) such Lien is otherwise permitted under this “Liens” covenant and (ii) a first priority Lien on such Equity Interests (which may be pari passu with such other Lien) is promptly granted to the Collateral Trustee for the benefit of the Secured Parties and any perfection requirements with respect thereto are satisfied within the time periods required by the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Subsidiaries taken as a whole, in one or more related transactions, to another Person, unless:</w:t>
      </w:r>
    </w:p>
    <w:p>
      <w:pPr>
        <w:spacing w:after="0" w:line="63" w:lineRule="exact"/>
        <w:rPr>
          <w:sz w:val="20"/>
          <w:szCs w:val="20"/>
          <w:color w:val="auto"/>
        </w:rPr>
      </w:pPr>
    </w:p>
    <w:p>
      <w:pPr>
        <w:ind w:left="1000" w:right="499" w:hanging="348"/>
        <w:spacing w:after="0" w:line="25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 (a) the Issuer is the surviving corporation; or (b) the Person formed by or surviving any such consolidation or merger (if other than the Issuer) or to which such sale, assignment, lease, transfer, conveyance or other disposition has been made is a corporation, limited liability company or partnership organized or existing under the laws of the United States, any state of the United States or the District of Columbia;</w:t>
      </w:r>
    </w:p>
    <w:p>
      <w:pPr>
        <w:spacing w:after="0" w:line="79" w:lineRule="exact"/>
        <w:rPr>
          <w:rFonts w:ascii="Arial" w:cs="Arial" w:eastAsia="Arial" w:hAnsi="Arial"/>
          <w:sz w:val="18"/>
          <w:szCs w:val="18"/>
          <w:color w:val="auto"/>
        </w:rPr>
      </w:pPr>
    </w:p>
    <w:p>
      <w:pPr>
        <w:ind w:left="1000" w:right="319" w:hanging="348"/>
        <w:spacing w:after="0" w:line="269"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Issuer) or the Person to which such sale, assignment, lease, transfer, conveyance or other disposition has been made expressly assumes, (x) by a supplemental indenture, executed and delivered to the Trustee, the payment of the principal of and any premium and interest on the Notes and the performance or observance of every covenant of the Indenture on the part of the Issuer to be performed or observed, and (y) prior to an Investment Grade Event Election, by amendment, supplement or other instrument (in form reasonably satisfactory to the Collateral Trustee), executed and delivered to the Collateral Trustee, all obligations of the Issuer under the Security Documents, and in connection therewith shall cause such instruments to be filed and recorded in such jurisdictions and take such other actions as may be required by applicable law to perfect or continue the perfection of the Liens (to the extent such collateral agreements require such Liens to be perfected) created under the Security Documents on the Collateral owned by or transferred to the surviving entity; and</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Upon any consolidation or merger, or any sale, assignment, lease, transfer, conveyance or other disposition of all or substantially all of the properties and assets of the Issuer and its Subsidiaries,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its obligations under the Indenture, any Security Documents and the Intercreditor Agreement, including the obligation to pay the principal of or interest or premium, if any, on the Notes.</w:t>
      </w:r>
    </w:p>
    <w:p>
      <w:pPr>
        <w:spacing w:after="0" w:line="60"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This “Merger, Consolidation or Sale of Assets” covenant will not apply to (and the following shall be permitted notwithstanding such covenant):</w:t>
      </w:r>
    </w:p>
    <w:p>
      <w:pPr>
        <w:spacing w:after="0" w:line="62" w:lineRule="exact"/>
        <w:rPr>
          <w:sz w:val="20"/>
          <w:szCs w:val="20"/>
          <w:color w:val="auto"/>
        </w:rPr>
      </w:pPr>
    </w:p>
    <w:p>
      <w:pPr>
        <w:ind w:left="1000" w:right="1259" w:hanging="348"/>
        <w:spacing w:after="0" w:line="286"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merger of the Issuer with a direct or indirect Subsidiary of Parent solely for the purpose of reincorporating the Issuer in another jurisdiction in the United States so long as the amount of Indebtedness of the Issuer and its Subsidiaries is not increased thereby;</w:t>
      </w:r>
    </w:p>
    <w:p>
      <w:pPr>
        <w:spacing w:after="0" w:line="57"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Issuer and its Subsidiaries;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(or the equivalent thereof) under the Credit Agreement becomes an obligor with respect to any capital markets debt securities in an aggregate principal amount in excess of $500.0 million or (c) Parent or any Subsidiary of Parent acquires or creates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(A) to become a Guarantor of the Notes and execute a supplemental indenture and (B) to execute joinders to the Security Documents or new Security Documents together with any other filings and agreements required by the Security Documents to grant a first-priority Lien on its property and assets, other than Excluded Assets and subject to Permitted Liens, for the benefit of the holders and the Trustee and (ii), if requested by the Trustee, deliver an opinion of counsel reasonably satisfactory to the Trustee.</w:t>
      </w:r>
    </w:p>
    <w:p>
      <w:pPr>
        <w:spacing w:after="0" w:line="84" w:lineRule="exact"/>
        <w:rPr>
          <w:sz w:val="20"/>
          <w:szCs w:val="20"/>
          <w:color w:val="auto"/>
        </w:rPr>
      </w:pPr>
    </w:p>
    <w:p>
      <w:pPr>
        <w:ind w:left="300" w:right="439" w:firstLine="360"/>
        <w:spacing w:after="0" w:line="283" w:lineRule="auto"/>
        <w:rPr>
          <w:sz w:val="20"/>
          <w:szCs w:val="20"/>
          <w:color w:val="auto"/>
        </w:rPr>
      </w:pPr>
      <w:r>
        <w:rPr>
          <w:rFonts w:ascii="Arial" w:cs="Arial" w:eastAsia="Arial" w:hAnsi="Arial"/>
          <w:sz w:val="16"/>
          <w:szCs w:val="16"/>
          <w:color w:val="auto"/>
        </w:rPr>
        <w:t>After the occurrence of an Investment Grade Event Election, with respect to each series of Notes, if the aggregate principal amount of Indebtedness for Borrowed Money of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exceeds $2,000.0 million (the “</w:t>
      </w:r>
      <w:r>
        <w:rPr>
          <w:rFonts w:ascii="Arial" w:cs="Arial" w:eastAsia="Arial" w:hAnsi="Arial"/>
          <w:sz w:val="16"/>
          <w:szCs w:val="16"/>
          <w:i w:val="1"/>
          <w:iCs w:val="1"/>
          <w:color w:val="auto"/>
        </w:rPr>
        <w:t>Guarantee Threshold</w:t>
      </w:r>
      <w:r>
        <w:rPr>
          <w:rFonts w:ascii="Arial" w:cs="Arial" w:eastAsia="Arial" w:hAnsi="Arial"/>
          <w:sz w:val="16"/>
          <w:szCs w:val="16"/>
          <w:color w:val="auto"/>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Arial" w:cs="Arial" w:eastAsia="Arial" w:hAnsi="Arial"/>
          <w:sz w:val="16"/>
          <w:szCs w:val="16"/>
          <w:i w:val="1"/>
          <w:iCs w:val="1"/>
          <w:color w:val="auto"/>
        </w:rPr>
        <w:t>Post-Release Event Note Guarantee</w:t>
      </w:r>
      <w:r>
        <w:rPr>
          <w:rFonts w:ascii="Arial" w:cs="Arial" w:eastAsia="Arial" w:hAnsi="Arial"/>
          <w:sz w:val="16"/>
          <w:szCs w:val="16"/>
          <w:color w:val="auto"/>
        </w:rPr>
        <w:t xml:space="preserve">”) such that the aggregate principal amount of Indebtedness of all other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left="500" w:hanging="208"/>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covenant shall not be applicable to any Indebtedness of any Subsidiary that existed at the time such Person</w:t>
      </w:r>
    </w:p>
    <w:p>
      <w:pPr>
        <w:spacing w:after="0" w:line="32" w:lineRule="exact"/>
        <w:rPr>
          <w:rFonts w:ascii="Arial" w:cs="Arial" w:eastAsia="Arial" w:hAnsi="Arial"/>
          <w:sz w:val="16"/>
          <w:szCs w:val="16"/>
          <w:color w:val="auto"/>
        </w:rPr>
      </w:pPr>
    </w:p>
    <w:p>
      <w:pPr>
        <w:ind w:left="300" w:right="299"/>
        <w:spacing w:after="0" w:line="288" w:lineRule="auto"/>
        <w:rPr>
          <w:rFonts w:ascii="Arial" w:cs="Arial" w:eastAsia="Arial" w:hAnsi="Arial"/>
          <w:sz w:val="16"/>
          <w:szCs w:val="16"/>
          <w:color w:val="auto"/>
        </w:rPr>
      </w:pPr>
      <w:r>
        <w:rPr>
          <w:rFonts w:ascii="Arial" w:cs="Arial" w:eastAsia="Arial" w:hAnsi="Arial"/>
          <w:sz w:val="16"/>
          <w:szCs w:val="16"/>
          <w:color w:val="auto"/>
        </w:rPr>
        <w:t>became a Subsidiary of Parent (including any Indebtedness incurred in connection with, or in contemplation of, such Person becoming a Subsidiary, so long as Parent and its Subsidiaries (other than such Person and its Subsidiaries) are not obligors under such Indebtedness), (ii) if the Guarantee Threshold would be exceeded immediately after giving effect to the occurrence of an Investment Grade Event Election, then such Investment Grade Event Election shall 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Whether or not required by the rules and regulations of the SEC, so long as any Notes are outstanding, the Issuer will file a copy of each of the Parent reports referred to in clauses (1) and (2) below with the SEC for public availability within the time periods (including all applicable extension periods) specified in the SEC rules and regulations applicable to such reports (unless the SEC will not accept such a filing):</w:t>
      </w:r>
    </w:p>
    <w:p>
      <w:pPr>
        <w:spacing w:after="0" w:line="63" w:lineRule="exact"/>
        <w:rPr>
          <w:sz w:val="20"/>
          <w:szCs w:val="20"/>
          <w:color w:val="auto"/>
        </w:rPr>
      </w:pPr>
    </w:p>
    <w:p>
      <w:pPr>
        <w:ind w:left="1000" w:right="339" w:hanging="348"/>
        <w:spacing w:after="0" w:line="301"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p>
      <w:pPr>
        <w:spacing w:after="0" w:line="49"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62"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availability of the foregoing reports on the SEC’s EDGAR service (or successor thereto)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satisfy the Issuer’s delivery obligations to the Trustee and any holder of Notes.</w:t>
      </w:r>
    </w:p>
    <w:p>
      <w:pPr>
        <w:spacing w:after="0" w:line="38" w:lineRule="exact"/>
        <w:rPr>
          <w:sz w:val="20"/>
          <w:szCs w:val="20"/>
          <w:color w:val="auto"/>
        </w:rPr>
      </w:pPr>
    </w:p>
    <w:p>
      <w:pPr>
        <w:ind w:left="300" w:right="459" w:firstLine="360"/>
        <w:spacing w:after="0" w:line="271" w:lineRule="auto"/>
        <w:rPr>
          <w:sz w:val="20"/>
          <w:szCs w:val="20"/>
          <w:color w:val="auto"/>
        </w:rPr>
      </w:pPr>
      <w:r>
        <w:rPr>
          <w:rFonts w:ascii="Arial" w:cs="Arial" w:eastAsia="Arial" w:hAnsi="Arial"/>
          <w:sz w:val="17"/>
          <w:szCs w:val="17"/>
          <w:color w:val="auto"/>
        </w:rPr>
        <w:t xml:space="preserve">All such reports will be prepared in all material respects in accordance with all of the rules and regulations applicable to such reports;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the offering memorandum pursuant to which the Original Notes of the applicable series were offered and sold. The Issuer will comply with §314(a) of the Trust Indenture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 xml:space="preserve">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Cash Equivalents, would, if held by a single Subsidiary of the Issuer, constitute a Significant Subsidiary of the Issuer, then the quarterly and annual financial information required by the preceding paragraphs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spacing w:after="0" w:line="6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spacing w:after="0" w:line="7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w:t>
      </w:r>
    </w:p>
    <w:p>
      <w:pPr>
        <w:spacing w:after="0" w:line="79"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in respect of the Notes of a series:</w:t>
      </w:r>
    </w:p>
    <w:p>
      <w:pPr>
        <w:spacing w:after="0" w:line="117"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of such series;</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of such series;</w:t>
      </w:r>
    </w:p>
    <w:p>
      <w:pPr>
        <w:spacing w:after="0" w:line="62"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by the Issuer or any of its Subsidiaries for 30 days after notice to the Issuer by the Trustee or the holders of at least 30% in aggregate principal amount of the Notes of such series then outstanding voting as a single class to comply with the provisions described under the caption “—Repurchase at the Option of Holders—Change of Control Triggering Event” (other than a failure to purchase Notes that will constitute an Event of Default under clause (2) above), or “—Certain Covenants—Merger, Consolidation or Sale of Assets”;</w:t>
      </w:r>
    </w:p>
    <w:p>
      <w:pPr>
        <w:spacing w:after="0" w:line="84"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by the Issuer or any of its Subsidiaries for 90 days after notice to the Issuer by the Trustee or the holders of at least 30% in aggregate principal amount of the Notes of such series then outstanding voting as a single class to comply with any of the other agreements in the Indenture (other than those described in clauses (1), (2) and (3) above);</w:t>
      </w:r>
    </w:p>
    <w:p>
      <w:pPr>
        <w:spacing w:after="0" w:line="78" w:lineRule="exact"/>
        <w:rPr>
          <w:rFonts w:ascii="Arial" w:cs="Arial" w:eastAsia="Arial" w:hAnsi="Arial"/>
          <w:sz w:val="18"/>
          <w:szCs w:val="18"/>
          <w:color w:val="auto"/>
        </w:rPr>
      </w:pPr>
    </w:p>
    <w:p>
      <w:pPr>
        <w:ind w:left="1000" w:right="399" w:hanging="348"/>
        <w:spacing w:after="0" w:line="273"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Issuer or any of its Significant Subsidiaries (or any of its Subsidiaries that together would constitute a Significant Subsidiary) (or the payment of which Indebtedness for borrowed money is guaranteed by the Issuer or any of its Significant Subsidiaries), whether such Indebtedness or Guarantee now exists, or is created after the Issue Date with respect to such series of Notes, if that default:</w:t>
      </w:r>
    </w:p>
    <w:p>
      <w:pPr>
        <w:spacing w:after="0" w:line="69" w:lineRule="exact"/>
        <w:rPr>
          <w:rFonts w:ascii="Arial" w:cs="Arial" w:eastAsia="Arial" w:hAnsi="Arial"/>
          <w:sz w:val="17"/>
          <w:szCs w:val="17"/>
          <w:color w:val="auto"/>
        </w:rPr>
      </w:pPr>
    </w:p>
    <w:p>
      <w:pPr>
        <w:ind w:left="1360" w:right="459" w:hanging="348"/>
        <w:spacing w:after="0" w:line="263"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at the later of final maturity and the expiration of any related applicable grace period (a “Payment Default”);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results in the acceleration of such Indebtedness prior to its express maturity;</w:t>
      </w:r>
    </w:p>
    <w:p>
      <w:pPr>
        <w:spacing w:after="0" w:line="117" w:lineRule="exact"/>
        <w:rPr>
          <w:sz w:val="20"/>
          <w:szCs w:val="20"/>
          <w:color w:val="auto"/>
        </w:rPr>
      </w:pPr>
    </w:p>
    <w:p>
      <w:pPr>
        <w:ind w:left="1020" w:right="499"/>
        <w:spacing w:after="0" w:line="296"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an amount equal to the greater of $250.0 million and 1.00% of Consolidated Cash Flow determined on a Pro Forma Basis for the most recently ended Test Period or more, in each case for so long as such failure or acceleration is continuing;</w:t>
      </w:r>
    </w:p>
    <w:p>
      <w:pPr>
        <w:spacing w:after="0" w:line="53" w:lineRule="exact"/>
        <w:rPr>
          <w:sz w:val="20"/>
          <w:szCs w:val="20"/>
          <w:color w:val="auto"/>
        </w:rPr>
      </w:pPr>
    </w:p>
    <w:p>
      <w:pPr>
        <w:ind w:left="1000" w:right="579" w:hanging="348"/>
        <w:spacing w:after="0" w:line="287"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failure by the Issuer or any of its Significant Subsidiaries (or any of its Subsidiaries that together would constitute a Significant Subsidiary) to pay or discharge final judgments entered by a court or courts of competent jurisdiction aggregating in excess of an amount equal to the greater of $250.0 million and</w:t>
      </w:r>
    </w:p>
    <w:p>
      <w:pPr>
        <w:spacing w:after="0" w:line="2" w:lineRule="exact"/>
        <w:rPr>
          <w:rFonts w:ascii="Arial" w:cs="Arial" w:eastAsia="Arial" w:hAnsi="Arial"/>
          <w:sz w:val="16"/>
          <w:szCs w:val="16"/>
          <w:color w:val="auto"/>
        </w:rPr>
      </w:pPr>
    </w:p>
    <w:p>
      <w:pPr>
        <w:ind w:left="1000" w:right="339"/>
        <w:spacing w:after="0" w:line="253" w:lineRule="auto"/>
        <w:rPr>
          <w:rFonts w:ascii="Arial" w:cs="Arial" w:eastAsia="Arial" w:hAnsi="Arial"/>
          <w:sz w:val="16"/>
          <w:szCs w:val="16"/>
          <w:color w:val="auto"/>
        </w:rPr>
      </w:pPr>
      <w:r>
        <w:rPr>
          <w:rFonts w:ascii="Arial" w:cs="Arial" w:eastAsia="Arial" w:hAnsi="Arial"/>
          <w:sz w:val="18"/>
          <w:szCs w:val="18"/>
          <w:color w:val="auto"/>
        </w:rPr>
        <w:t>1.00% of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p>
      <w:pPr>
        <w:spacing w:after="0" w:line="82" w:lineRule="exact"/>
        <w:rPr>
          <w:rFonts w:ascii="Arial" w:cs="Arial" w:eastAsia="Arial" w:hAnsi="Arial"/>
          <w:sz w:val="16"/>
          <w:szCs w:val="16"/>
          <w:color w:val="auto"/>
        </w:rPr>
      </w:pPr>
    </w:p>
    <w:p>
      <w:pPr>
        <w:ind w:left="1000" w:right="339" w:hanging="348"/>
        <w:spacing w:after="0" w:line="308"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Issuer or any of its Significant Subsidiaries, or any group of its Subsidiaries that, taken together, would constitute a Significant Subsidiary, pursuant to or within the meaning of any Bankruptcy Law:</w:t>
      </w:r>
    </w:p>
    <w:p>
      <w:pPr>
        <w:spacing w:after="0" w:line="38" w:lineRule="exact"/>
        <w:rPr>
          <w:rFonts w:ascii="Arial" w:cs="Arial" w:eastAsia="Arial" w:hAnsi="Arial"/>
          <w:sz w:val="17"/>
          <w:szCs w:val="17"/>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court of competent jurisdiction enters a final order or decree under any Bankruptcy Law that:</w:t>
      </w:r>
    </w:p>
    <w:p>
      <w:pPr>
        <w:spacing w:after="0" w:line="117" w:lineRule="exact"/>
        <w:rPr>
          <w:rFonts w:ascii="Arial" w:cs="Arial" w:eastAsia="Arial" w:hAnsi="Arial"/>
          <w:sz w:val="18"/>
          <w:szCs w:val="18"/>
          <w:color w:val="auto"/>
        </w:rPr>
      </w:pPr>
    </w:p>
    <w:p>
      <w:pPr>
        <w:ind w:left="1360" w:right="359" w:hanging="348"/>
        <w:spacing w:after="0" w:line="263" w:lineRule="auto"/>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for relief against the Issuer or any of its Significant Subsidiaries or any group of Subsidiaries of the Issuer that, taken together, would constitute a Significant Subsidiary of the Issuer in an involuntary case;</w:t>
      </w:r>
    </w:p>
    <w:p>
      <w:pPr>
        <w:spacing w:after="0" w:line="75" w:lineRule="exact"/>
        <w:rPr>
          <w:rFonts w:ascii="Arial" w:cs="Arial" w:eastAsia="Arial" w:hAnsi="Arial"/>
          <w:sz w:val="18"/>
          <w:szCs w:val="18"/>
          <w:color w:val="auto"/>
        </w:rPr>
      </w:pPr>
    </w:p>
    <w:p>
      <w:pPr>
        <w:ind w:left="1360" w:right="479" w:hanging="348"/>
        <w:spacing w:after="0" w:line="301" w:lineRule="auto"/>
        <w:tabs>
          <w:tab w:leader="none" w:pos="13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appoints a custodian of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p>
      <w:pPr>
        <w:spacing w:after="0" w:line="49" w:lineRule="exact"/>
        <w:rPr>
          <w:rFonts w:ascii="Arial" w:cs="Arial" w:eastAsia="Arial" w:hAnsi="Arial"/>
          <w:sz w:val="16"/>
          <w:szCs w:val="16"/>
          <w:color w:val="auto"/>
        </w:rPr>
      </w:pPr>
    </w:p>
    <w:p>
      <w:pPr>
        <w:ind w:left="1360" w:right="439" w:hanging="348"/>
        <w:spacing w:after="0" w:line="342" w:lineRule="auto"/>
        <w:tabs>
          <w:tab w:leader="none" w:pos="13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orders the liquidation of the Issuer or any of its Significant Subsidiaries or any group of Subsidiaries of the Issuer that, taken together, would constitute a Significant Subsidiary of the Issuer;</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and the final order or decree remains unstayed and in effect for 60 consecutive days;</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 and</w:t>
      </w:r>
    </w:p>
    <w:p>
      <w:pPr>
        <w:spacing w:after="0" w:line="68" w:lineRule="exact"/>
        <w:rPr>
          <w:rFonts w:ascii="Arial" w:cs="Arial" w:eastAsia="Arial" w:hAnsi="Arial"/>
          <w:sz w:val="17"/>
          <w:szCs w:val="17"/>
          <w:color w:val="auto"/>
        </w:rPr>
      </w:pPr>
    </w:p>
    <w:p>
      <w:pPr>
        <w:ind w:left="1000" w:right="479" w:hanging="348"/>
        <w:spacing w:after="0" w:line="286"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than by reason of the satisfaction in full of all obligations under the Indenture and discharge of the Indenture with respect to such series of Notes or the release of such Collateral with respect to such series of Notes in accordance with the terms of the Indenture and the Intercreditor Agreement,</w:t>
      </w:r>
    </w:p>
    <w:p>
      <w:pPr>
        <w:spacing w:after="0" w:line="57" w:lineRule="exact"/>
        <w:rPr>
          <w:rFonts w:ascii="Arial" w:cs="Arial" w:eastAsia="Arial" w:hAnsi="Arial"/>
          <w:sz w:val="17"/>
          <w:szCs w:val="17"/>
          <w:color w:val="auto"/>
        </w:rPr>
      </w:pPr>
    </w:p>
    <w:p>
      <w:pPr>
        <w:ind w:left="1360" w:right="439" w:hanging="348"/>
        <w:spacing w:after="0" w:line="296" w:lineRule="auto"/>
        <w:tabs>
          <w:tab w:leader="none" w:pos="13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any security interest with respect to Collateral having a Fair Market Value in excess of 5% of Consolidated Total Assets, individually or in the aggregate, such security interest under the Security Documents shall, at any time, cease to be a valid and perfected security interest or shall be declared invalid or unenforceable and any such default continues for 30 days after notice of such default shall have been given to the Issuer by the Trustee or the holders of at least 30%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439"/>
        <w:spacing w:after="0" w:line="259" w:lineRule="auto"/>
        <w:rPr>
          <w:sz w:val="20"/>
          <w:szCs w:val="20"/>
          <w:color w:val="auto"/>
        </w:rPr>
      </w:pPr>
      <w:r>
        <w:rPr>
          <w:rFonts w:ascii="Arial" w:cs="Arial" w:eastAsia="Arial" w:hAnsi="Arial"/>
          <w:sz w:val="18"/>
          <w:szCs w:val="18"/>
          <w:color w:val="auto"/>
        </w:rPr>
        <w:t>the principal amount of the then outstanding notes of all series issued under the Indenture, except to the extent that any such default results solely from the failure of the Collateral Trustee to maintain possession of certificates, promissory notes or other instruments actually delivered to it representing securities pledged under the Security Documents; or</w:t>
      </w:r>
    </w:p>
    <w:p>
      <w:pPr>
        <w:spacing w:after="0" w:line="79" w:lineRule="exact"/>
        <w:rPr>
          <w:sz w:val="20"/>
          <w:szCs w:val="20"/>
          <w:color w:val="auto"/>
        </w:rPr>
      </w:pPr>
    </w:p>
    <w:p>
      <w:pPr>
        <w:ind w:left="1360" w:right="779" w:hanging="348"/>
        <w:spacing w:after="0" w:line="342" w:lineRule="auto"/>
        <w:tabs>
          <w:tab w:leader="none" w:pos="1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Issuer or any Subsidiary Guarantor shall assert, in any pleading in any court of competent jurisdiction, that any security interest under any Security Document is invalid or unenforceable.</w:t>
      </w:r>
    </w:p>
    <w:p>
      <w:pPr>
        <w:spacing w:after="0" w:line="16" w:lineRule="exact"/>
        <w:rPr>
          <w:sz w:val="20"/>
          <w:szCs w:val="20"/>
          <w:color w:val="auto"/>
        </w:rPr>
      </w:pPr>
    </w:p>
    <w:p>
      <w:pPr>
        <w:ind w:left="300" w:right="499" w:firstLine="360"/>
        <w:spacing w:after="0" w:line="270" w:lineRule="auto"/>
        <w:rPr>
          <w:sz w:val="20"/>
          <w:szCs w:val="20"/>
          <w:color w:val="auto"/>
        </w:rPr>
      </w:pPr>
      <w:r>
        <w:rPr>
          <w:rFonts w:ascii="Arial" w:cs="Arial" w:eastAsia="Arial" w:hAnsi="Arial"/>
          <w:sz w:val="17"/>
          <w:szCs w:val="17"/>
          <w:color w:val="auto"/>
        </w:rPr>
        <w:t xml:space="preserve">In the case of an Event of Default arising from certain events of bankruptcy or insolvency, with respect to the Issuer, any of its Significant Subsidiaries or any group of Subsidiaries of the Issuer that, taken together, would constitute a Significant Subsidiary of the Issuer,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declaration may be made with respect to or as a result of any action taken, and reported publicly or to holders of Notes, more than two years prior to such declaration.</w:t>
      </w:r>
    </w:p>
    <w:p>
      <w:pPr>
        <w:spacing w:after="0" w:line="73"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Subject to certain limitations and subject to the terms of the Intercreditor Agreement,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the principal of, or the interest or premium, if any, on the Notes of such series.</w:t>
      </w:r>
    </w:p>
    <w:p>
      <w:pPr>
        <w:spacing w:after="0" w:line="68"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Subject to the provisions of the Indenture relating to the duties of the Trustee, the Trustee will be under no obligation to exercise any of the rights or powers under the Indenture or the Security Documents at the request or direction of any holders of Notes unless such holders have offered to the Trustee indemnity or security satisfactory to it against any loss, liability or expense. Subject to the Intercreditor Agreement, except to enforce the right to receive payment of principal, premium (if any) or interest when due, a holder may pursue a remedy with respect to the Indenture or the Notes of any series only if:</w:t>
      </w:r>
    </w:p>
    <w:p>
      <w:pPr>
        <w:spacing w:after="0" w:line="70"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then outstanding Notes of the applicable series have made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 expense to be incurred in compliance with such request;</w:t>
      </w:r>
    </w:p>
    <w:p>
      <w:pPr>
        <w:spacing w:after="0" w:line="15"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90 days after receipt of the request and the offer of indemnity or security; and</w:t>
      </w:r>
    </w:p>
    <w:p>
      <w:pPr>
        <w:spacing w:after="0" w:line="62" w:lineRule="exact"/>
        <w:rPr>
          <w:rFonts w:ascii="Arial" w:cs="Arial" w:eastAsia="Arial" w:hAnsi="Arial"/>
          <w:sz w:val="18"/>
          <w:szCs w:val="18"/>
          <w:color w:val="auto"/>
        </w:rPr>
      </w:pPr>
    </w:p>
    <w:p>
      <w:pPr>
        <w:ind w:left="1000" w:right="639" w:hanging="348"/>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such 90-day period, holders of a majority in aggregate principal amount of the then outstanding Notes of the applicable series have not given the Trustee a direction inconsistent with such request.</w:t>
      </w:r>
    </w:p>
    <w:p>
      <w:pPr>
        <w:spacing w:after="0" w:line="1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No past, present or future director, officer, member, manager, partner, employee, incorporator or stockholder of any Issuer or any Guarantor, as such, will have any liability for any obligations of any Issuer or any Guarantor under the Notes, the Indenture, the Note Guarantees, the Intercreditor Agreement, the Security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9" w:lineRule="auto"/>
        <w:rPr>
          <w:sz w:val="20"/>
          <w:szCs w:val="20"/>
          <w:color w:val="auto"/>
        </w:rPr>
      </w:pPr>
      <w:r>
        <w:rPr>
          <w:rFonts w:ascii="Arial" w:cs="Arial" w:eastAsia="Arial" w:hAnsi="Arial"/>
          <w:sz w:val="17"/>
          <w:szCs w:val="17"/>
          <w:color w:val="auto"/>
        </w:rPr>
        <w:t>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Issuer may at any time, at the option of its Board of Directors evidenced by a resolution set forth in an officer’s certificate, elect to have all of its obligations discharged with respect to the outstanding Notes of any series and the related Security Documents with respect thereto and all obligations of the Guarantors discharged with respect to their Note Guarantees and the Security Documents with respect to such series (“</w:t>
      </w:r>
      <w:r>
        <w:rPr>
          <w:rFonts w:ascii="Arial" w:cs="Arial" w:eastAsia="Arial" w:hAnsi="Arial"/>
          <w:sz w:val="17"/>
          <w:szCs w:val="17"/>
          <w:i w:val="1"/>
          <w:iCs w:val="1"/>
          <w:color w:val="auto"/>
        </w:rPr>
        <w:t>Legal Defeasance</w:t>
      </w:r>
      <w:r>
        <w:rPr>
          <w:rFonts w:ascii="Arial" w:cs="Arial" w:eastAsia="Arial" w:hAnsi="Arial"/>
          <w:sz w:val="17"/>
          <w:szCs w:val="17"/>
          <w:color w:val="auto"/>
        </w:rPr>
        <w:t>”) and cure all then existing Defaults and Events of Defaults except for:</w:t>
      </w:r>
    </w:p>
    <w:p>
      <w:pPr>
        <w:spacing w:after="0" w:line="68" w:lineRule="exact"/>
        <w:rPr>
          <w:sz w:val="20"/>
          <w:szCs w:val="20"/>
          <w:color w:val="auto"/>
        </w:rPr>
      </w:pPr>
    </w:p>
    <w:p>
      <w:pPr>
        <w:jc w:val="both"/>
        <w:ind w:left="1000" w:right="399" w:hanging="348"/>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rights of holders of outstanding Notes of such series to receive payments in respect of the principal of, or interest or premium, if any, on, the Notes when such payments are due from the trust referred to below;</w:t>
      </w:r>
    </w:p>
    <w:p>
      <w:pPr>
        <w:spacing w:after="0" w:line="15"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of such series concerning issuing temporary Notes, registration of Notes, mutilated, destroyed, lost or stolen Notes and the maintenance of an office or agency for payment of money for security payments held in trust;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and the Issuer’s and the Guarantors’ obligations in connection therewith;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In addition, the Issuer may, at its option and at any time with respect to any series of Notes, elect to have the obligations of the Issuer and the Guarantors released with respect to the provisions of the Indenture described above under “—Repurchase at the Option of Holders” and under the caption “—Certain Covenants” (other than the covenant described under the caption “—Certain Covenants—Merger, Consolidation or Sale of Assets”) (such release and termination being referred to as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or provisions will not constitute a Default or Event of Default with respect to such Notes. In the event Covenant Defeasance occurs with respect to any series of Notes in accordance with the Indenture, the Events of Default described under clauses (3) through (8) (in the case of clauses (7) and (8), only with respect to the Issuer’s Subsidiaries) and clauses (9) through (10) under the caption “—Events of Default and Remedies,” in each case, will no longer constitute an Event of Default.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any series of Notes:</w:t>
      </w:r>
    </w:p>
    <w:p>
      <w:pPr>
        <w:spacing w:after="0" w:line="129" w:lineRule="exact"/>
        <w:rPr>
          <w:sz w:val="20"/>
          <w:szCs w:val="20"/>
          <w:color w:val="auto"/>
        </w:rPr>
      </w:pPr>
    </w:p>
    <w:p>
      <w:pPr>
        <w:ind w:left="1000" w:right="339" w:hanging="348"/>
        <w:spacing w:after="0" w:line="287"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p>
      <w:pPr>
        <w:spacing w:after="0" w:line="279" w:lineRule="exact"/>
        <w:rPr>
          <w:rFonts w:ascii="Arial" w:cs="Arial" w:eastAsia="Arial" w:hAnsi="Arial"/>
          <w:sz w:val="16"/>
          <w:szCs w:val="16"/>
          <w:color w:val="auto"/>
        </w:rPr>
      </w:pPr>
    </w:p>
    <w:p>
      <w:pPr>
        <w:ind w:left="1000" w:right="339" w:hanging="348"/>
        <w:spacing w:after="0" w:line="293"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beneficial owners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79"/>
        <w:spacing w:after="0" w:line="259" w:lineRule="auto"/>
        <w:rPr>
          <w:sz w:val="20"/>
          <w:szCs w:val="20"/>
          <w:color w:val="auto"/>
        </w:rPr>
      </w:pPr>
      <w:r>
        <w:rPr>
          <w:rFonts w:ascii="Arial" w:cs="Arial" w:eastAsia="Arial" w:hAnsi="Arial"/>
          <w:sz w:val="18"/>
          <w:szCs w:val="18"/>
          <w:color w:val="auto"/>
        </w:rPr>
        <w:t>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1000" w:right="359" w:hanging="348"/>
        <w:spacing w:after="0" w:line="293"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Covenant Defeasance, the Issuer must deliver to the Trustee an opinion of counsel reasonably acceptable to the Trustee (which opinion of counsel may be subject to customary assumptions, qualifications and exclusions) confirming that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6" w:lineRule="exact"/>
        <w:rPr>
          <w:rFonts w:ascii="Arial" w:cs="Arial" w:eastAsia="Arial" w:hAnsi="Arial"/>
          <w:sz w:val="16"/>
          <w:szCs w:val="16"/>
          <w:color w:val="auto"/>
        </w:rPr>
      </w:pPr>
    </w:p>
    <w:p>
      <w:pPr>
        <w:ind w:left="1000" w:right="359" w:hanging="348"/>
        <w:spacing w:after="0" w:line="255"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p>
      <w:pPr>
        <w:spacing w:after="0" w:line="84" w:lineRule="exact"/>
        <w:rPr>
          <w:rFonts w:ascii="Arial" w:cs="Arial" w:eastAsia="Arial" w:hAnsi="Arial"/>
          <w:sz w:val="18"/>
          <w:szCs w:val="18"/>
          <w:color w:val="auto"/>
        </w:rPr>
      </w:pPr>
    </w:p>
    <w:p>
      <w:pPr>
        <w:jc w:val="both"/>
        <w:ind w:left="1000" w:right="479" w:hanging="348"/>
        <w:spacing w:after="0" w:line="311"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p>
      <w:pPr>
        <w:spacing w:after="0" w:line="40" w:lineRule="exact"/>
        <w:rPr>
          <w:rFonts w:ascii="Arial" w:cs="Arial" w:eastAsia="Arial" w:hAnsi="Arial"/>
          <w:sz w:val="16"/>
          <w:szCs w:val="16"/>
          <w:color w:val="auto"/>
        </w:rPr>
      </w:pPr>
    </w:p>
    <w:p>
      <w:pPr>
        <w:ind w:left="1000" w:right="539" w:hanging="348"/>
        <w:spacing w:after="0" w:line="286"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p>
      <w:pPr>
        <w:spacing w:after="0" w:line="57" w:lineRule="exact"/>
        <w:rPr>
          <w:rFonts w:ascii="Arial" w:cs="Arial" w:eastAsia="Arial" w:hAnsi="Arial"/>
          <w:sz w:val="17"/>
          <w:szCs w:val="17"/>
          <w:color w:val="auto"/>
        </w:rPr>
      </w:pPr>
    </w:p>
    <w:p>
      <w:pPr>
        <w:ind w:left="1000" w:right="479" w:hanging="348"/>
        <w:spacing w:after="0" w:line="308"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all conditions precedent relating to the Legal Defeasance or the Covenant Defeasance have been complied with; and</w:t>
      </w:r>
    </w:p>
    <w:p>
      <w:pPr>
        <w:spacing w:after="0" w:line="38" w:lineRule="exact"/>
        <w:rPr>
          <w:rFonts w:ascii="Arial" w:cs="Arial" w:eastAsia="Arial" w:hAnsi="Arial"/>
          <w:sz w:val="17"/>
          <w:szCs w:val="17"/>
          <w:color w:val="auto"/>
        </w:rPr>
      </w:pPr>
    </w:p>
    <w:p>
      <w:pPr>
        <w:ind w:left="1000" w:right="859" w:hanging="348"/>
        <w:spacing w:after="0" w:line="291"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Issuer must deliver to the Trustee an opinion of counsel (which may be subject to customary assumptions, qualifications and exclusions), stating that all conditions precedent set forth in clauses</w:t>
      </w:r>
    </w:p>
    <w:p>
      <w:pPr>
        <w:ind w:left="1000"/>
        <w:spacing w:after="0"/>
        <w:rPr>
          <w:rFonts w:ascii="Arial" w:cs="Arial" w:eastAsia="Arial" w:hAnsi="Arial"/>
          <w:sz w:val="16"/>
          <w:szCs w:val="16"/>
          <w:color w:val="auto"/>
        </w:rPr>
      </w:pPr>
      <w:r>
        <w:rPr>
          <w:rFonts w:ascii="Arial" w:cs="Arial" w:eastAsia="Arial" w:hAnsi="Arial"/>
          <w:sz w:val="18"/>
          <w:szCs w:val="18"/>
          <w:color w:val="auto"/>
        </w:rPr>
        <w:t>(2) and (3) of this paragraph, as applicable, have been complied with.</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300" w:right="419" w:firstLine="360"/>
        <w:spacing w:after="0" w:line="270" w:lineRule="auto"/>
        <w:rPr>
          <w:sz w:val="20"/>
          <w:szCs w:val="20"/>
          <w:color w:val="auto"/>
        </w:rPr>
      </w:pPr>
      <w:r>
        <w:rPr>
          <w:rFonts w:ascii="Arial" w:cs="Arial" w:eastAsia="Arial" w:hAnsi="Arial"/>
          <w:sz w:val="17"/>
          <w:szCs w:val="17"/>
          <w:color w:val="auto"/>
        </w:rPr>
        <w:t>Except as provided in the next two succeeding paragraphs, the Intercreditor Agreement, the Security Documents,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 (including consents obtained in connection with a purchase of, or tender offer or exchange offer for, the Notes of such series).</w:t>
      </w:r>
    </w:p>
    <w:p>
      <w:pPr>
        <w:spacing w:after="0" w:line="73"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Without the consent of each holder of Notes of the applicable series affected, an amendment, supplement or waiver may not (with respect to any Notes of a particular series held by a non-consenting holder):</w:t>
      </w:r>
    </w:p>
    <w:p>
      <w:pPr>
        <w:spacing w:after="0" w:line="16" w:lineRule="exact"/>
        <w:rPr>
          <w:sz w:val="20"/>
          <w:szCs w:val="20"/>
          <w:color w:val="auto"/>
        </w:rPr>
      </w:pPr>
    </w:p>
    <w:p>
      <w:pPr>
        <w:ind w:left="1000" w:right="9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principal amount of Notes of such series whose holders must consent to an amendment, supplement or waiver;</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 of such series;</w:t>
      </w:r>
    </w:p>
    <w:p>
      <w:pPr>
        <w:spacing w:after="0" w:line="117"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premium, if any, or interest on, the Notes of such series (except a rescission of acceleration of the Notes of such series by the 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719"/>
        <w:spacing w:after="0" w:line="277" w:lineRule="auto"/>
        <w:rPr>
          <w:sz w:val="20"/>
          <w:szCs w:val="20"/>
          <w:color w:val="auto"/>
        </w:rPr>
      </w:pPr>
      <w:r>
        <w:rPr>
          <w:rFonts w:ascii="Arial" w:cs="Arial" w:eastAsia="Arial" w:hAnsi="Arial"/>
          <w:sz w:val="18"/>
          <w:szCs w:val="18"/>
          <w:color w:val="auto"/>
        </w:rPr>
        <w:t>of at least a majority in aggregate principal amount of the then outstanding Notes of such series and a waiver of the payment default that resulted from such acceleration);</w:t>
      </w:r>
    </w:p>
    <w:p>
      <w:pPr>
        <w:spacing w:after="0" w:line="62"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make any Note of such series payable in money other than that stated in the Notes of such series;</w:t>
      </w:r>
    </w:p>
    <w:p>
      <w:pPr>
        <w:spacing w:after="0" w:line="12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of such series to receive payments of principal of, or interest or premium, if any, on, the Notes of such series;</w:t>
      </w:r>
    </w:p>
    <w:p>
      <w:pPr>
        <w:spacing w:after="0" w:line="75" w:lineRule="exact"/>
        <w:rPr>
          <w:rFonts w:ascii="Arial" w:cs="Arial" w:eastAsia="Arial" w:hAnsi="Arial"/>
          <w:sz w:val="18"/>
          <w:szCs w:val="18"/>
          <w:color w:val="auto"/>
        </w:rPr>
      </w:pPr>
    </w:p>
    <w:p>
      <w:pPr>
        <w:ind w:left="1000" w:right="359" w:hanging="348"/>
        <w:spacing w:after="0" w:line="30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of such series (other than a payment required by the covenants described above under the caption “—Repurchase at the Option of Holders”);</w:t>
      </w:r>
    </w:p>
    <w:p>
      <w:pPr>
        <w:spacing w:after="0" w:line="38" w:lineRule="exact"/>
        <w:rPr>
          <w:rFonts w:ascii="Arial" w:cs="Arial" w:eastAsia="Arial" w:hAnsi="Arial"/>
          <w:sz w:val="17"/>
          <w:szCs w:val="17"/>
          <w:color w:val="auto"/>
        </w:rPr>
      </w:pPr>
    </w:p>
    <w:p>
      <w:pPr>
        <w:ind w:left="1000" w:right="599" w:hanging="348"/>
        <w:spacing w:after="0" w:line="30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related Note Guarantee of the Notes of such series or the applicable Indenture, except in accordance with the terms of such Indenture;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07" w:lineRule="exact"/>
        <w:rPr>
          <w:sz w:val="20"/>
          <w:szCs w:val="20"/>
          <w:color w:val="auto"/>
        </w:rPr>
      </w:pPr>
    </w:p>
    <w:p>
      <w:pPr>
        <w:ind w:left="300" w:right="359" w:firstLine="360"/>
        <w:spacing w:after="0" w:line="228" w:lineRule="auto"/>
        <w:rPr>
          <w:sz w:val="20"/>
          <w:szCs w:val="20"/>
          <w:color w:val="auto"/>
        </w:rPr>
      </w:pPr>
      <w:r>
        <w:rPr>
          <w:rFonts w:ascii="Arial" w:cs="Arial" w:eastAsia="Arial" w:hAnsi="Arial"/>
          <w:sz w:val="18"/>
          <w:szCs w:val="18"/>
          <w:color w:val="auto"/>
        </w:rPr>
        <w:t>Notwithstanding the foregoing, without the consent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aggregate principal amount of the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Notes of such series on all or substantially all of the Collateral.</w:t>
      </w:r>
    </w:p>
    <w:p>
      <w:pPr>
        <w:spacing w:after="0" w:line="94"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7"/>
          <w:szCs w:val="17"/>
          <w:color w:val="auto"/>
        </w:rPr>
        <w:t>Notwithstanding the preceding, without the consent of any holder of Notes, the Issuer, the Guarantors, the Trustee and the Collateral Trustee may amend or supplement the applicable Indenture, the Intercreditor Agreement, the Security Documents, the Notes of such series or the related Note Guarantees:</w:t>
      </w:r>
    </w:p>
    <w:p>
      <w:pPr>
        <w:spacing w:after="0" w:line="57"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under the Indenture, the Intercreditor Agreement or the Security Documents to holders of Notes of such series and related Note Guarantees in the case of a merger or consolidation or sale of all or substantially all of the Issuer’s or such Guarantor’s assets, as applicable;</w:t>
      </w:r>
    </w:p>
    <w:p>
      <w:pPr>
        <w:spacing w:after="0" w:line="78" w:lineRule="exact"/>
        <w:rPr>
          <w:rFonts w:ascii="Arial" w:cs="Arial" w:eastAsia="Arial" w:hAnsi="Arial"/>
          <w:sz w:val="18"/>
          <w:szCs w:val="18"/>
          <w:color w:val="auto"/>
        </w:rPr>
      </w:pPr>
    </w:p>
    <w:p>
      <w:pPr>
        <w:jc w:val="both"/>
        <w:ind w:left="1000" w:right="71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effect the release of a Guarantor from its Note Guarantee in respect of such series of Notes and the termination of such Note Guarantee, all in accordance with the provisions of the applicable Indenture governing such release and termination;</w:t>
      </w:r>
    </w:p>
    <w:p>
      <w:pPr>
        <w:spacing w:after="0" w:line="75"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any Guarantor or Note Guarantee or to secure Collateral to secure such series or any Note Guarantee in respect of the Notes of any series;</w:t>
      </w:r>
    </w:p>
    <w:p>
      <w:pPr>
        <w:spacing w:after="0" w:line="62"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of such series or that does not adversely affect the legal rights under the Indenture of any such holder in any material respect;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jc w:val="both"/>
        <w:ind w:left="1000" w:right="399" w:hanging="348"/>
        <w:spacing w:after="0" w:line="311"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applicable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40" w:lineRule="exact"/>
        <w:rPr>
          <w:rFonts w:ascii="Arial" w:cs="Arial" w:eastAsia="Arial" w:hAnsi="Arial"/>
          <w:sz w:val="16"/>
          <w:szCs w:val="16"/>
          <w:color w:val="auto"/>
        </w:rPr>
      </w:pPr>
    </w:p>
    <w:p>
      <w:pPr>
        <w:ind w:left="1000" w:right="63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 as permitted by the Base Indenture;</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conform the text of the applicable Indenture, any Notes, any related Note Guarantees, the Intercreditor Agreement, any Security Document to any provision of this “Description of Notes” section of the offering memorandum applicable to such Notes at the time of the initial sale thereof, in each case, as conclusively evidenced by an officer’s certificate;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to provide for the issuance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have the same terms as, and be deemed part of the same series as, the Notes of such series to the extent required under the applicable Indenture;</w:t>
      </w:r>
    </w:p>
    <w:p>
      <w:pPr>
        <w:spacing w:after="0" w:line="75" w:lineRule="exact"/>
        <w:rPr>
          <w:rFonts w:ascii="Arial" w:cs="Arial" w:eastAsia="Arial" w:hAnsi="Arial"/>
          <w:sz w:val="18"/>
          <w:szCs w:val="18"/>
          <w:color w:val="auto"/>
        </w:rPr>
      </w:pPr>
    </w:p>
    <w:p>
      <w:pPr>
        <w:ind w:left="1000" w:right="359" w:hanging="348"/>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evidence and provide for the acceptance of and appointment by a successor trustee or Collateral Trustee with respect to the Notes of such series and to add to or change any of the provisions of the Indenture as shall be necessary to provide for or facilitate the administration of the trust by more than one trustee;</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allow any Guarantor of the Notes of such series to execute a supplemental indenture providing a Note Guarantee with respect to the Notes of such series;</w:t>
      </w:r>
    </w:p>
    <w:p>
      <w:pPr>
        <w:spacing w:after="0" w:line="62" w:lineRule="exact"/>
        <w:rPr>
          <w:rFonts w:ascii="Arial" w:cs="Arial" w:eastAsia="Arial" w:hAnsi="Arial"/>
          <w:sz w:val="18"/>
          <w:szCs w:val="18"/>
          <w:color w:val="auto"/>
        </w:rPr>
      </w:pPr>
    </w:p>
    <w:p>
      <w:pPr>
        <w:ind w:left="1000" w:right="9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any Security Document, to include therein any legend required to be set forth therein pursuant to the Intercreditor Agreement or to modify any legend as required by the Intercreditor Agreement;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release Collateral from the Lien under the Security Documents when permitted or required by the Security Documents, the Indenture or the Intercreditor Agreement;</w:t>
      </w:r>
    </w:p>
    <w:p>
      <w:pPr>
        <w:spacing w:after="0" w:line="62" w:lineRule="exact"/>
        <w:rPr>
          <w:rFonts w:ascii="Arial" w:cs="Arial" w:eastAsia="Arial" w:hAnsi="Arial"/>
          <w:sz w:val="18"/>
          <w:szCs w:val="18"/>
          <w:color w:val="auto"/>
        </w:rPr>
      </w:pPr>
    </w:p>
    <w:p>
      <w:pPr>
        <w:ind w:left="1000" w:right="419" w:hanging="348"/>
        <w:spacing w:after="0" w:line="255"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mortgage, pledge, hypothecate or grant any other Lien in favor of the Trustee or the Collateral Trustee for the benefit of the holders, as additional security for the payment and performance of all or any portion of the obligations under the Notes, in any property or assets, including any which are required to be mortgaged, pledged or hypothecated, or in which a Lien is required to be granted to or for the benefit of the Trustee or the Collateral Trustee pursuant to the Indenture, any of the Security Documents or otherwise;</w:t>
      </w:r>
    </w:p>
    <w:p>
      <w:pPr>
        <w:spacing w:after="0" w:line="84"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enter into any intercreditor agreement having substantially similar terms with respect to the holders as those set forth in the Intercreditor Agreement, taken as a whole, or any joinder thereto; and</w:t>
      </w:r>
    </w:p>
    <w:p>
      <w:pPr>
        <w:spacing w:after="0" w:line="15" w:lineRule="exact"/>
        <w:rPr>
          <w:rFonts w:ascii="Arial" w:cs="Arial" w:eastAsia="Arial" w:hAnsi="Arial"/>
          <w:sz w:val="16"/>
          <w:szCs w:val="16"/>
          <w:color w:val="auto"/>
        </w:rPr>
      </w:pPr>
    </w:p>
    <w:p>
      <w:pPr>
        <w:ind w:left="1000" w:right="77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the Security Documents and Intercreditor Agreement, as provided in the Intercreditor Agreement (including to add or replace secured parties).</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7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For the avoidance of doubt, no amendment to, or deletion of any of the covenants described under, “—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applicable Indenture will be discharged and will cease to be of further effect as to the Notes of a series issued thereunder, when:</w:t>
      </w:r>
    </w:p>
    <w:p>
      <w:pPr>
        <w:spacing w:after="0" w:line="62"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99" w:hanging="348"/>
        <w:spacing w:after="0" w:line="286" w:lineRule="auto"/>
        <w:tabs>
          <w:tab w:leader="none" w:pos="13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7" w:lineRule="exact"/>
        <w:rPr>
          <w:rFonts w:ascii="Arial" w:cs="Arial" w:eastAsia="Arial" w:hAnsi="Arial"/>
          <w:sz w:val="17"/>
          <w:szCs w:val="17"/>
          <w:color w:val="auto"/>
        </w:rPr>
      </w:pPr>
    </w:p>
    <w:p>
      <w:pPr>
        <w:ind w:left="1360" w:right="359" w:hanging="348"/>
        <w:spacing w:after="0" w:line="289" w:lineRule="auto"/>
        <w:tabs>
          <w:tab w:leader="none" w:pos="13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39"/>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any redemption that requires the payment of a premium, the amount deposited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w:t>
      </w:r>
    </w:p>
    <w:p>
      <w:pPr>
        <w:spacing w:after="0" w:line="80" w:lineRule="exact"/>
        <w:rPr>
          <w:sz w:val="20"/>
          <w:szCs w:val="20"/>
          <w:color w:val="auto"/>
        </w:rPr>
      </w:pPr>
    </w:p>
    <w:p>
      <w:pPr>
        <w:ind w:left="1000" w:right="49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it under the Indenture with respect to the Notes of such series; and</w:t>
      </w:r>
    </w:p>
    <w:p>
      <w:pPr>
        <w:spacing w:after="0" w:line="62"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the Indenture to apply the deposited money toward the payment of the Notes of such series at maturity or on the redemption date, as the case may be.</w:t>
      </w:r>
    </w:p>
    <w:p>
      <w:pPr>
        <w:spacing w:after="0" w:line="76"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In addition, the Issuer must deliver to the Trustee (a) an officer’s certificate, stating that all conditions precedent set forth in clauses (1) through (3) above have been satisfied, and (b) an opinion of counsel (which opinion of counsel may be subject to customary assumptions, qualifications and exclusions), stating that all conditions precedent set forth in clause (3) above have been satisfied.</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The Indenture, the Intercreditor Agreement, the Security Documents, the Notes and the Note Guarantees are (with respect to the Original Notes) or will be (with respect to the Existing Notes) governed by the laws of the State of New York.</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ordinary banking relationships with Deutsche Bank Trust Company Americas and its affiliates.</w:t>
      </w:r>
    </w:p>
    <w:p>
      <w:pPr>
        <w:spacing w:after="0" w:line="12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spacing w:after="0" w:line="68"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w:t>
      </w:r>
    </w:p>
    <w:p>
      <w:pPr>
        <w:spacing w:after="0" w:line="80"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Acceleration Event</w:t>
      </w:r>
      <w:r>
        <w:rPr>
          <w:rFonts w:ascii="Arial" w:cs="Arial" w:eastAsia="Arial" w:hAnsi="Arial"/>
          <w:sz w:val="16"/>
          <w:szCs w:val="16"/>
          <w:color w:val="auto"/>
        </w:rPr>
        <w:t>” means, with respect to any Secured Obligations, (i) such Secured Obligations are currently due and payable in full and have not been paid in full and any applicable grace period has expired or (ii) an Intercreditor Agreement Event of Default has occurred under the relevant Secured Instrument and, as a result thereof, all such Secured Obligations outstanding have become due and payable and have not been paid in full.</w:t>
      </w:r>
    </w:p>
    <w:p>
      <w:pPr>
        <w:spacing w:after="0" w:line="4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U.S.C. Section 1.1 et seq.), as amended from time to time.</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 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w:t>
      </w:r>
      <w:r>
        <w:rPr>
          <w:rFonts w:ascii="Arial" w:cs="Arial" w:eastAsia="Arial" w:hAnsi="Arial"/>
          <w:sz w:val="16"/>
          <w:szCs w:val="16"/>
          <w:i w:val="1"/>
          <w:iCs w:val="1"/>
          <w:color w:val="auto"/>
        </w:rPr>
        <w:t>Beneficially Owned</w:t>
      </w:r>
      <w:r>
        <w:rPr>
          <w:rFonts w:ascii="Arial" w:cs="Arial" w:eastAsia="Arial" w:hAnsi="Arial"/>
          <w:sz w:val="16"/>
          <w:szCs w:val="16"/>
          <w:color w:val="auto"/>
        </w:rPr>
        <w:t>” and “</w:t>
      </w:r>
      <w:r>
        <w:rPr>
          <w:rFonts w:ascii="Arial" w:cs="Arial" w:eastAsia="Arial" w:hAnsi="Arial"/>
          <w:sz w:val="16"/>
          <w:szCs w:val="16"/>
          <w:i w:val="1"/>
          <w:iCs w:val="1"/>
          <w:color w:val="auto"/>
        </w:rPr>
        <w:t>Beneficial Ownership</w:t>
      </w:r>
      <w:r>
        <w:rPr>
          <w:rFonts w:ascii="Arial" w:cs="Arial" w:eastAsia="Arial" w:hAnsi="Arial"/>
          <w:sz w:val="16"/>
          <w:szCs w:val="16"/>
          <w:color w:val="auto"/>
        </w:rPr>
        <w:t>” have a corresponding meaning.</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000" w:right="75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managing member of the general partner of the partnership;</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12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 Purchase Agreement</w:t>
      </w:r>
      <w:r>
        <w:rPr>
          <w:rFonts w:ascii="Arial" w:cs="Arial" w:eastAsia="Arial" w:hAnsi="Arial"/>
          <w:sz w:val="18"/>
          <w:szCs w:val="18"/>
          <w:color w:val="auto"/>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spacing w:after="0" w:line="79"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Assets</w:t>
      </w:r>
      <w:r>
        <w:rPr>
          <w:rFonts w:ascii="Arial" w:cs="Arial" w:eastAsia="Arial" w:hAnsi="Arial"/>
          <w:sz w:val="18"/>
          <w:szCs w:val="18"/>
          <w:color w:val="auto"/>
        </w:rPr>
        <w:t>” means all assets sold or to be sold by Parent, Sprint Corporation or any of their Subsidiaries pursuant to the Boost Asset Purchase Agreement. These assets were sold pursuant to the Boost Asset Purchase Agreement and are no longer owned by the Issuer or the Guarantors.</w:t>
      </w:r>
    </w:p>
    <w:p>
      <w:pPr>
        <w:spacing w:after="0" w:line="7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Bridge Credit Agreement</w:t>
      </w:r>
      <w:r>
        <w:rPr>
          <w:rFonts w:ascii="Arial" w:cs="Arial" w:eastAsia="Arial" w:hAnsi="Arial"/>
          <w:sz w:val="16"/>
          <w:szCs w:val="16"/>
          <w:color w:val="auto"/>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 References to the Bridge Credit Agreement in this Description of Notes are to reflect the references to it in the existing Intercreditor Agreement and Security Documents even though the Bridge Credit Agreement is no longer outstanding.</w:t>
      </w:r>
    </w:p>
    <w:p>
      <w:pPr>
        <w:spacing w:after="0" w:line="58"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acquisition by Parent or any of its subsidiaries, whether directly or indirectly, of Sprint Corporation.</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legal holiday in the City of New York or in any place of payment with respect to the Notes on which banking institutions are authorized or required by law, regulation or executive order to close.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 exempted company, shares;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respectively; and</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Captive Insurance Subsidiary</w:t>
      </w:r>
      <w:r>
        <w:rPr>
          <w:rFonts w:ascii="Arial" w:cs="Arial" w:eastAsia="Arial" w:hAnsi="Arial"/>
          <w:sz w:val="18"/>
          <w:szCs w:val="18"/>
          <w:color w:val="auto"/>
        </w:rPr>
        <w:t>” means any direct or indirect Subsidiary of the Issuer that bears financial risk or exposure relating to insurance or reinsurance activities (including without limitation the Reinsurance Entity) and any segregated accounts associated with any such Person.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p>
      <w:pPr>
        <w:spacing w:after="0" w:line="75"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p>
      <w:pPr>
        <w:spacing w:after="0" w:line="84"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demand deposits,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19" w:hanging="348"/>
        <w:spacing w:after="0" w:line="25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p>
      <w:pPr>
        <w:spacing w:after="0" w:line="79"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auction rate securities rated at least “AA-” or “Aa3” (or the equivalent thereof) by a Rating Agency at the time of purchase and with reset dates of one year or less from the time of purchase;</w:t>
      </w:r>
    </w:p>
    <w:p>
      <w:pPr>
        <w:spacing w:after="0" w:line="38" w:lineRule="exact"/>
        <w:rPr>
          <w:rFonts w:ascii="Arial" w:cs="Arial" w:eastAsia="Arial" w:hAnsi="Arial"/>
          <w:sz w:val="17"/>
          <w:szCs w:val="17"/>
          <w:color w:val="auto"/>
        </w:rPr>
      </w:pPr>
    </w:p>
    <w:p>
      <w:pPr>
        <w:ind w:left="1000" w:right="419" w:hanging="348"/>
        <w:spacing w:after="0" w:line="279"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63"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83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1000" w:right="319" w:hanging="348"/>
        <w:spacing w:after="0" w:line="301"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p>
      <w:pPr>
        <w:spacing w:after="0" w:line="49" w:lineRule="exact"/>
        <w:rPr>
          <w:rFonts w:ascii="Arial" w:cs="Arial" w:eastAsia="Arial" w:hAnsi="Arial"/>
          <w:sz w:val="16"/>
          <w:szCs w:val="16"/>
          <w:color w:val="auto"/>
        </w:rPr>
      </w:pPr>
    </w:p>
    <w:p>
      <w:pPr>
        <w:ind w:left="1000" w:right="479" w:hanging="348"/>
        <w:spacing w:after="0" w:line="275"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w:t>
      </w:r>
    </w:p>
    <w:p>
      <w:pPr>
        <w:spacing w:after="0" w:line="117"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Transactions, including the Merger, and the other transactions specifically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Agreement (including the changes to the Beneficial Ownership of the Voting Stock of Parent contemplated therein) shall not be a Change of Control.</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has the meaning assigned to that term in the provision described under the caption “—Repurchase at the Option of Holders—Change of Control Triggering Event.”</w:t>
      </w:r>
    </w:p>
    <w:p>
      <w:pPr>
        <w:spacing w:after="0" w:line="38"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with respect to any series of the Notes means the occurrence of both a Change of Control and a Rating Event.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means, as the context may require, the First Priority Class or the Junior Priority Class.</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Agreement</w:t>
      </w:r>
      <w:r>
        <w:rPr>
          <w:rFonts w:ascii="Arial" w:cs="Arial" w:eastAsia="Arial" w:hAnsi="Arial"/>
          <w:sz w:val="18"/>
          <w:szCs w:val="18"/>
          <w:color w:val="auto"/>
        </w:rPr>
        <w:t>” means the Collateral Agreement, dated as of April 1, 2020, by and among Parent, each Subsidiary of Parent that, directly or indirectly, owns Equity Interests of the Issuer, the Issuer and each Secured Guarantor party thereto from time to time in favor of the Collateral Trustee, as the same may be amended, restated, supplemented, replaced or otherwise modified from time to time.</w:t>
      </w:r>
    </w:p>
    <w:p>
      <w:pPr>
        <w:spacing w:after="0" w:line="79"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Enforcement Action</w:t>
      </w:r>
      <w:r>
        <w:rPr>
          <w:rFonts w:ascii="Arial" w:cs="Arial" w:eastAsia="Arial" w:hAnsi="Arial"/>
          <w:sz w:val="16"/>
          <w:szCs w:val="16"/>
          <w:color w:val="auto"/>
        </w:rPr>
        <w:t>” means, with respect to any Secured Party, for such Secured Party, whether or not in consultation with any other Secured Party, to exercise, seek to exercise or join any Person in exercising, or to institute or to maintain or to participate in any action or proceeding with respect to, any rights or remedies with respect to any Collateral, including (i) instituting or maintaining, or joining any Person in instituting or maintaining, any enforcement, contest, protest, attachment, collection, execution, levy or foreclosure action or proceeding with respect to any Collateral, whether under any Secured Instrument, Trust Security Document or otherwise,</w:t>
      </w:r>
    </w:p>
    <w:p>
      <w:pPr>
        <w:spacing w:after="0" w:line="4" w:lineRule="exact"/>
        <w:rPr>
          <w:sz w:val="20"/>
          <w:szCs w:val="20"/>
          <w:color w:val="auto"/>
        </w:rPr>
      </w:pPr>
    </w:p>
    <w:p>
      <w:pPr>
        <w:ind w:left="300" w:right="419" w:hanging="8"/>
        <w:spacing w:after="0" w:line="252" w:lineRule="auto"/>
        <w:tabs>
          <w:tab w:leader="none" w:pos="5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exercising any right of set-off with respect to the Issuer or any Secured Guarantor, or (iii) exercising any other enforcement right or remedy with respect to any Collateral under the Uniform Commercial Code of any applicable jurisdiction or under any Bankruptcy Law or other applicable law (but excluding, for the avoidance of doubt, the exercise of rights against any cash collateral provided by the Issuer or any Secured Guarantor to any holder of Designated L/C Facility Obligations or any other letter of credit obligations or against any property not constituting “Collateral” hereunder).</w:t>
      </w:r>
    </w:p>
    <w:p>
      <w:pPr>
        <w:spacing w:after="0" w:line="86" w:lineRule="exact"/>
        <w:rPr>
          <w:sz w:val="20"/>
          <w:szCs w:val="20"/>
          <w:color w:val="auto"/>
        </w:rPr>
      </w:pPr>
    </w:p>
    <w:p>
      <w:pPr>
        <w:ind w:left="300" w:right="7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Trustee</w:t>
      </w:r>
      <w:r>
        <w:rPr>
          <w:rFonts w:ascii="Arial" w:cs="Arial" w:eastAsia="Arial" w:hAnsi="Arial"/>
          <w:sz w:val="17"/>
          <w:szCs w:val="17"/>
          <w:color w:val="auto"/>
        </w:rPr>
        <w:t>” means Deutsche Bank Trust Company Americas, in its capacity as Collateral Trustee under the Intercreditor Agreement (or any successor collateral trustee thereunder).</w:t>
      </w:r>
    </w:p>
    <w:p>
      <w:pPr>
        <w:spacing w:after="0" w:line="38"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19" w:hanging="348"/>
        <w:spacing w:after="0" w:line="342"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provision for taxes based on income or profits of such Person and its Subsidiaries for such period, to the extent that such provision for taxes was deducted in computing such Consolidated Net Income; plus</w:t>
      </w:r>
    </w:p>
    <w:p>
      <w:pPr>
        <w:spacing w:after="0" w:line="15" w:lineRule="exact"/>
        <w:rPr>
          <w:rFonts w:ascii="Arial" w:cs="Arial" w:eastAsia="Arial" w:hAnsi="Arial"/>
          <w:sz w:val="16"/>
          <w:szCs w:val="16"/>
          <w:color w:val="auto"/>
        </w:rPr>
      </w:pPr>
    </w:p>
    <w:p>
      <w:pPr>
        <w:ind w:left="1000" w:right="579" w:hanging="348"/>
        <w:spacing w:after="0" w:line="342"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Subsidiaries for such period, to the extent that such Consolidated Interest Expense was deducted in computing such Consolidated Net Income; plus</w:t>
      </w:r>
    </w:p>
    <w:p>
      <w:pPr>
        <w:spacing w:after="0" w:line="15" w:lineRule="exact"/>
        <w:rPr>
          <w:rFonts w:ascii="Arial" w:cs="Arial" w:eastAsia="Arial" w:hAnsi="Arial"/>
          <w:sz w:val="16"/>
          <w:szCs w:val="16"/>
          <w:color w:val="auto"/>
        </w:rPr>
      </w:pPr>
    </w:p>
    <w:p>
      <w:pPr>
        <w:ind w:left="1000" w:right="319" w:hanging="348"/>
        <w:spacing w:after="0" w:line="293"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Consolidated Net Income; plus</w:t>
      </w:r>
    </w:p>
    <w:p>
      <w:pPr>
        <w:spacing w:after="0" w:line="56" w:lineRule="exact"/>
        <w:rPr>
          <w:rFonts w:ascii="Arial" w:cs="Arial" w:eastAsia="Arial" w:hAnsi="Arial"/>
          <w:sz w:val="16"/>
          <w:szCs w:val="16"/>
          <w:color w:val="auto"/>
        </w:rPr>
      </w:pPr>
    </w:p>
    <w:p>
      <w:pPr>
        <w:ind w:left="1000" w:right="359" w:hanging="348"/>
        <w:spacing w:after="0" w:line="284"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Issue Date), (c) any premium, penalty or fee paid in relation to any repayment, prepayment or repurchase of Indebtedness, (d) any fees or expenses relating to the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p>
      <w:pPr>
        <w:spacing w:after="0" w:line="71"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losses or discounts on sales of Permitted Receivables Financing Assets in connection with any Permitted Receivables Financing; plus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ind w:left="1000" w:right="319" w:hanging="348"/>
        <w:spacing w:after="0" w:line="283"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“run rate” expected cost savings, operating expense reductions, other operating improvements and initiatives, restructuring charges and expenses and synergies that are reasonably identifiable, factually 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Merger, the date of the consummation of the Merger or</w:t>
      </w:r>
    </w:p>
    <w:p>
      <w:pPr>
        <w:spacing w:after="0" w:line="1" w:lineRule="exact"/>
        <w:rPr>
          <w:rFonts w:ascii="Arial" w:cs="Arial" w:eastAsia="Arial" w:hAnsi="Arial"/>
          <w:sz w:val="16"/>
          <w:szCs w:val="16"/>
          <w:color w:val="auto"/>
        </w:rPr>
      </w:pPr>
    </w:p>
    <w:p>
      <w:pPr>
        <w:ind w:left="1000" w:right="459" w:firstLine="3"/>
        <w:spacing w:after="0" w:line="260" w:lineRule="auto"/>
        <w:tabs>
          <w:tab w:leader="none" w:pos="12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such cost savings, expense reductions, charge, expense, acquisition, divestiture, restructuring, other operational changes or initiative is initiated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59"/>
        <w:spacing w:after="0" w:line="272" w:lineRule="auto"/>
        <w:rPr>
          <w:sz w:val="20"/>
          <w:szCs w:val="20"/>
          <w:color w:val="auto"/>
        </w:rPr>
      </w:pPr>
      <w:r>
        <w:rPr>
          <w:rFonts w:ascii="Arial" w:cs="Arial" w:eastAsia="Arial" w:hAnsi="Arial"/>
          <w:sz w:val="17"/>
          <w:szCs w:val="17"/>
          <w:color w:val="auto"/>
        </w:rPr>
        <w:t>the date of the consummation of the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Consolidated Cash Flow, whether through a pro forma adjustment or otherwise, for such period (which adjustments may be incremental to pro forma adjustments made pursuant to the definition of “Secured Debt to Cash Flow Ratio”); plus</w:t>
      </w:r>
    </w:p>
    <w:p>
      <w:pPr>
        <w:spacing w:after="0" w:line="69" w:lineRule="exact"/>
        <w:rPr>
          <w:sz w:val="20"/>
          <w:szCs w:val="20"/>
          <w:color w:val="auto"/>
        </w:rPr>
      </w:pPr>
    </w:p>
    <w:p>
      <w:pPr>
        <w:ind w:left="1000" w:right="359" w:hanging="348"/>
        <w:spacing w:after="0" w:line="287"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addition to (but not in duplication of) clause (7) above, the “run rate” expected cost savings, operating expense reductions, other operating improvements and initiatives, restructuring charges and expenses and synergies related to the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“Secured Debt to Cash Flow Ratio”); minus</w:t>
      </w:r>
    </w:p>
    <w:p>
      <w:pPr>
        <w:spacing w:after="0" w:line="59" w:lineRule="exact"/>
        <w:rPr>
          <w:rFonts w:ascii="Arial" w:cs="Arial" w:eastAsia="Arial" w:hAnsi="Arial"/>
          <w:sz w:val="16"/>
          <w:szCs w:val="16"/>
          <w:color w:val="auto"/>
        </w:rPr>
      </w:pPr>
    </w:p>
    <w:p>
      <w:pPr>
        <w:jc w:val="both"/>
        <w:ind w:left="1000" w:right="91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58"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For the avoidance of doubt, calculations of “Consolidated Cash Flow” of the Issuer for any period prior to the date of the consummation of the Merger for purposes of calculating the Secured Debt to Cash Flow Ratio shall be on a Pro Forma Basis.</w:t>
      </w:r>
    </w:p>
    <w:p>
      <w:pPr>
        <w:spacing w:after="0" w:line="76"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Indebtedness</w:t>
      </w:r>
      <w:r>
        <w:rPr>
          <w:rFonts w:ascii="Arial" w:cs="Arial" w:eastAsia="Arial" w:hAnsi="Arial"/>
          <w:sz w:val="16"/>
          <w:szCs w:val="16"/>
          <w:color w:val="auto"/>
        </w:rPr>
        <w:t xml:space="preserve">” means, with respect to any Person as of any date of determination, the sum, without duplication, of (i) the total amount of Indebtedness of such Person and its Subsidiaries described in clauses (a)(1) and (2) (excluding, for the avoidance of doubt, surety bonds, performance bonds and similar instruments) of the definition of Indebtedness, determined on a consolidated basis, to the extent required to be recorded on a balance sheet in accordance with GAAP, including, without duplication, the outstanding principal amount of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Consolidated Indebtedness shall not include (w) Indebtedness incurred in connection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Tower Financing or other special purpose entity financing (other than Indebtedness incurred by a Permitted Spectrum Financing Subsidiary, including the Existing Sprint Spectrum-Backed Notes), (x) obligations in respect of letters of credit, except to the extent of any unreimbursed amounts thereunder or (y) Indebtedness constituting Financing Lease Obligations, purchase money debt or other similar Indebtedness.</w:t>
      </w:r>
    </w:p>
    <w:p>
      <w:pPr>
        <w:spacing w:after="0" w:line="60"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plus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interest expense on that portion of Indebtedness of another Person that is guaranteed by such Person or one of its Subsidiaries or secured by a Lien on assets of such Person or one of its Subsidiaries (whether or not such Guarantee or Lien is called upon); plus</w:t>
      </w:r>
    </w:p>
    <w:p>
      <w:pPr>
        <w:spacing w:after="0" w:line="75" w:lineRule="exact"/>
        <w:rPr>
          <w:rFonts w:ascii="Arial" w:cs="Arial" w:eastAsia="Arial" w:hAnsi="Arial"/>
          <w:sz w:val="18"/>
          <w:szCs w:val="18"/>
          <w:color w:val="auto"/>
        </w:rPr>
      </w:pPr>
    </w:p>
    <w:p>
      <w:pPr>
        <w:ind w:left="1000" w:right="439" w:hanging="348"/>
        <w:spacing w:after="0" w:line="259"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Subsidiaries, times (b) a fraction, the numerator of which is one and the denominator of which is one minus the then-current combined U.S. federal, state and local statutory tax rate of such Person, expressed as a decimal;</w:t>
      </w:r>
    </w:p>
    <w:p>
      <w:pPr>
        <w:spacing w:after="0" w:line="79"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in each case, on a consolidated basis and in accordance with GAAP; excluding, however, (i) [reserved], (ii) 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Indebtedness in connection with the application of recapitalization accounting or, if applicable, purchase accounting in connection with the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Transactions or any acquisitions after the Issue Date,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spacing w:after="0" w:line="63"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879" w:hanging="348"/>
        <w:spacing w:after="0" w:line="286"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positive Net Income of any Person that is not a Subsidiary or that is accounted for by the equity method of accounting will be included only to the extent of the amount of dividends or similar distributions paid in cash to the specified Person or a Subsidiary of the Person;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in each case, will be excluded;</w:t>
      </w:r>
    </w:p>
    <w:p>
      <w:pPr>
        <w:spacing w:after="0" w:line="62"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rFonts w:ascii="Arial" w:cs="Arial" w:eastAsia="Arial" w:hAnsi="Arial"/>
          <w:sz w:val="17"/>
          <w:szCs w:val="17"/>
          <w:color w:val="auto"/>
        </w:rPr>
      </w:pPr>
    </w:p>
    <w:p>
      <w:pPr>
        <w:ind w:left="1000" w:right="319" w:hanging="348"/>
        <w:spacing w:after="0" w:line="271"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Business Combination) prior to or after the date of the consummation of the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p>
      <w:pPr>
        <w:spacing w:after="0" w:line="70" w:lineRule="exact"/>
        <w:rPr>
          <w:rFonts w:ascii="Arial" w:cs="Arial" w:eastAsia="Arial" w:hAnsi="Arial"/>
          <w:sz w:val="17"/>
          <w:szCs w:val="17"/>
          <w:color w:val="auto"/>
        </w:rPr>
      </w:pPr>
    </w:p>
    <w:p>
      <w:pPr>
        <w:ind w:left="1000" w:right="339" w:hanging="348"/>
        <w:spacing w:after="0" w:line="296"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fees and expenses, including prepayment premiums and similar amounts, incurred during such period, or any amortization thereof for such period, in connection with any equity issuance, acquisition, disposition, recapitalization, Investment, asset sale, issuance or repayment of Indebtedness (including any issuance of Notes), financing transaction or amendment or modification of any debt instrument (including, in each case, any such transaction undertaken but not completed), shall be excluded;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gains and losses from any early extinguishment of Indebtedness shall be excluded;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Indebtedness shall be excluded; and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Indebtedness shall be excluded.</w:t>
      </w:r>
    </w:p>
    <w:p>
      <w:pPr>
        <w:spacing w:after="0" w:line="62"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spacing w:after="0" w:line="73" w:lineRule="exact"/>
        <w:rPr>
          <w:sz w:val="20"/>
          <w:szCs w:val="20"/>
          <w:color w:val="auto"/>
        </w:rPr>
      </w:pPr>
    </w:p>
    <w:p>
      <w:pPr>
        <w:jc w:val="both"/>
        <w:ind w:left="300" w:right="3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spacing w:after="0" w:line="4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the consolidated total assets of such Person and its Subsidiaries as set forth on the most recent balance sheet of such Person prepared in accordance with GAAP, as determined on a Pro Forma Basis.</w:t>
      </w:r>
    </w:p>
    <w:p>
      <w:pPr>
        <w:spacing w:after="0" w:line="76"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Controlling Party</w:t>
      </w:r>
      <w:r>
        <w:rPr>
          <w:rFonts w:ascii="Arial" w:cs="Arial" w:eastAsia="Arial" w:hAnsi="Arial"/>
          <w:sz w:val="16"/>
          <w:szCs w:val="16"/>
          <w:color w:val="auto"/>
        </w:rPr>
        <w:t xml:space="preserve">” means (a) at any time when any First Priority Secured Obligations or commitments in respect thereof have not been paid in full, (i) the First Priority Agent, (ii) if (1) a Notice of Acceleration has been delivered (and remains in effect) in respect of any Material First Priority Secured Obligations and (2) both (x) the First Priority Secured Obligations in respect of which the First Priority Agent is the Holder Representative have not been accelerated (and have not become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Notice of Acceleration, the Holder Representative for the series of obligations constituting the then highest outstanding amount of Material First Priority Secured Obligations in respect of which a Notice of Acceleration has been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 Notice of Acceleration has been delivered (and remains in effect) in respect of any Material Junior Priority Secured Obligations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Notice of Acceleration, the Junior Priority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w:t>
      </w:r>
    </w:p>
    <w:p>
      <w:pPr>
        <w:spacing w:after="0" w:line="62" w:lineRule="exact"/>
        <w:rPr>
          <w:sz w:val="20"/>
          <w:szCs w:val="20"/>
          <w:color w:val="auto"/>
        </w:rPr>
      </w:pPr>
    </w:p>
    <w:p>
      <w:pPr>
        <w:ind w:left="300" w:right="51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 of the Trustee</w:t>
      </w:r>
      <w:r>
        <w:rPr>
          <w:rFonts w:ascii="Arial" w:cs="Arial" w:eastAsia="Arial" w:hAnsi="Arial"/>
          <w:sz w:val="16"/>
          <w:szCs w:val="16"/>
          <w:color w:val="auto"/>
        </w:rPr>
        <w:t>” means, solely for purposes of presenting Notes, Deutsche Bank Trust Company Americas located at 60 Wall Street, New York, NY 10005, and, for all other purposes, the office of the Trustee at which any time its corporate trust business will be administered, which at the date hereof 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311" w:lineRule="auto"/>
        <w:rPr>
          <w:sz w:val="20"/>
          <w:szCs w:val="20"/>
          <w:color w:val="auto"/>
        </w:rPr>
      </w:pPr>
      <w:r>
        <w:rPr>
          <w:rFonts w:ascii="Arial" w:cs="Arial" w:eastAsia="Arial" w:hAnsi="Arial"/>
          <w:sz w:val="16"/>
          <w:szCs w:val="16"/>
          <w:color w:val="auto"/>
        </w:rPr>
        <w:t>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4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(a) the Credit Agreement, dated April 1, 2020, by and among Parent, the Issuer, the subsidiaries of the Issuer party thereto, the financial institutions from time to time parties thereto and Deutsche Bank AG New York Branch, as administrative agent (the “</w:t>
      </w:r>
      <w:r>
        <w:rPr>
          <w:rFonts w:ascii="Arial" w:cs="Arial" w:eastAsia="Arial" w:hAnsi="Arial"/>
          <w:sz w:val="16"/>
          <w:szCs w:val="16"/>
          <w:i w:val="1"/>
          <w:iCs w:val="1"/>
          <w:color w:val="auto"/>
        </w:rPr>
        <w:t>Initial Syndicated Credit Agreement</w:t>
      </w:r>
      <w:r>
        <w:rPr>
          <w:rFonts w:ascii="Arial" w:cs="Arial" w:eastAsia="Arial" w:hAnsi="Arial"/>
          <w:sz w:val="16"/>
          <w:szCs w:val="16"/>
          <w:color w:val="auto"/>
        </w:rPr>
        <w: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 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spacing w:after="0" w:line="58" w:lineRule="exact"/>
        <w:rPr>
          <w:sz w:val="20"/>
          <w:szCs w:val="20"/>
          <w:color w:val="auto"/>
        </w:rPr>
      </w:pPr>
    </w:p>
    <w:p>
      <w:pPr>
        <w:ind w:left="300" w:right="5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 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spacing w:after="0" w:line="58"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 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62"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Cash Management Obligations</w:t>
      </w:r>
      <w:r>
        <w:rPr>
          <w:rFonts w:ascii="Arial" w:cs="Arial" w:eastAsia="Arial" w:hAnsi="Arial"/>
          <w:sz w:val="16"/>
          <w:szCs w:val="16"/>
          <w:color w:val="auto"/>
        </w:rPr>
        <w:t>” means the due and punctual payment and performance of any and all obligations of the Issuer and each Subsidiary (whether absolute or contingent and however and whenever created, arising, evidenced or acquired (including all renewals, extensions and modifications thereof and substitutions therefor)) arising in respect of cash management facilities or services including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in each case that have been designated by the Issuer in accordance with the Intercreditor Agreement from time to time as constituting “Designated Cash Management Obligations”.</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Hedging Obligations</w:t>
      </w:r>
      <w:r>
        <w:rPr>
          <w:rFonts w:ascii="Arial" w:cs="Arial" w:eastAsia="Arial" w:hAnsi="Arial"/>
          <w:sz w:val="17"/>
          <w:szCs w:val="17"/>
          <w:color w:val="auto"/>
        </w:rPr>
        <w:t>” means the due and punctual payment and performance of any and all Hedging Obligations of the Issuer and each Subsidiary that has been designated by the Issuer in accordance with the Intercreditor Agreement from time to time as constituting “Designated Hedging Obligations”.</w:t>
      </w:r>
    </w:p>
    <w:p>
      <w:pPr>
        <w:spacing w:after="0" w:line="5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Facilitie</w:t>
      </w:r>
      <w:r>
        <w:rPr>
          <w:rFonts w:ascii="Arial" w:cs="Arial" w:eastAsia="Arial" w:hAnsi="Arial"/>
          <w:sz w:val="18"/>
          <w:szCs w:val="18"/>
          <w:color w:val="auto"/>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spacing w:after="0" w:line="76"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Facility Obligations</w:t>
      </w:r>
      <w:r>
        <w:rPr>
          <w:rFonts w:ascii="Arial" w:cs="Arial" w:eastAsia="Arial" w:hAnsi="Arial"/>
          <w:sz w:val="18"/>
          <w:szCs w:val="18"/>
          <w:color w:val="auto"/>
        </w:rPr>
        <w:t>” means, collectively, the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any Designated L/C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Tower Entity</w:t>
      </w:r>
      <w:r>
        <w:rPr>
          <w:rFonts w:ascii="Arial" w:cs="Arial" w:eastAsia="Arial" w:hAnsi="Arial"/>
          <w:sz w:val="16"/>
          <w:szCs w:val="16"/>
          <w:color w:val="auto"/>
        </w:rPr>
        <w:t>” means any entity established solely or primarily for the limited purpose of holding wireless communications sites, towers, and related contracts, equipment, improvements, real estate, and other assets, and performing other activities incidental thereto or in connection with any Permitted Tower Financing. For the avoidance of doubt, T-Mobile USA Tower LLC and T-Mobile West Tower LLC are each Designated Tower Entities.</w:t>
      </w:r>
    </w:p>
    <w:p>
      <w:pPr>
        <w:spacing w:after="0" w:line="4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Deutsche Telekom</w:t>
      </w:r>
      <w:r>
        <w:rPr>
          <w:rFonts w:ascii="Arial" w:cs="Arial" w:eastAsia="Arial" w:hAnsi="Arial"/>
          <w:sz w:val="18"/>
          <w:szCs w:val="18"/>
          <w:color w:val="auto"/>
        </w:rPr>
        <w:t xml:space="preserve">” means Deutsche Telekom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and existing under the laws of the Federal Republic of Germany.</w:t>
      </w:r>
    </w:p>
    <w:p>
      <w:pPr>
        <w:spacing w:after="0" w:line="62"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DIP Financing</w:t>
      </w:r>
      <w:r>
        <w:rPr>
          <w:rFonts w:ascii="Arial" w:cs="Arial" w:eastAsia="Arial" w:hAnsi="Arial"/>
          <w:sz w:val="16"/>
          <w:szCs w:val="16"/>
          <w:color w:val="auto"/>
        </w:rPr>
        <w:t>” means any financing obtained by the Issuer or any Secured Guarantor during any Insolvency Proceeding or otherwise pursuant to any Bankruptcy Law, including any such financing obtained by the Issuer or any Secured Guarantor under Section 363 or 364 of the Bankruptcy Code or under any similar provision of any Bankruptcy Law or consisting of any arrangement for use of cash collateral held in respect of any Secured Obligation under Section 363 of the Bankruptcy Code or under any similar provision of any Bankruptcy Law.</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the Issuer that is not a Foreign Subsidiary.</w:t>
      </w:r>
    </w:p>
    <w:p>
      <w:pPr>
        <w:spacing w:after="0" w:line="11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First Priority Secured Parties</w:t>
      </w:r>
      <w:r>
        <w:rPr>
          <w:rFonts w:ascii="Arial" w:cs="Arial" w:eastAsia="Arial" w:hAnsi="Arial"/>
          <w:sz w:val="18"/>
          <w:szCs w:val="18"/>
          <w:color w:val="auto"/>
        </w:rPr>
        <w:t>” means (a) in respect of any First Priority Debt Documents (other than the Intra-Company Lease Agreements and the Performance Agreements), the First Priority Secured Parties eligible to vote on applicable matters thereunder, and (b) in respect of the Intra-Company Lease Agreements and the Performance Agreements, the relevant Holder Representatives.</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62" w:lineRule="exact"/>
        <w:rPr>
          <w:sz w:val="20"/>
          <w:szCs w:val="20"/>
          <w:color w:val="auto"/>
        </w:rPr>
      </w:pPr>
    </w:p>
    <w:p>
      <w:pPr>
        <w:ind w:left="300" w:right="31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xml:space="preserve">”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Obligations by any applicable law (including financial assistance, fraudulent conveyance, preference, thin capitalization or other similar laws or regulations) or by any contractual requirement existing on the date of the consummation of the Merger or on the date of the acquisition of such Subsidiary or the date such Subsidiary became a “Restricted Subsidiary” under the Credit Agreement (in each case not created in 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a Note Party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 (ii) through (xii) above), upon which re-designation such Subsidiary shall automatically be released from its Note Guarantee; provided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(y) the administrative agent under the Credit Agreement shall have received at least 3 Business Days prior to such Subsidiary becoming a Subsidiary Guarantor, all documentation and other information required by regulatory authorities with respect to such Subsidiary under applicable “know your customer” and anti-money laundering rules and regulations, including, without limitation,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the PATRIOT Act, in each case as reasonably requested by the administrative agent under the Credit Agreement at least 10 Business Days prior to such Subsidiary becoming a Subsidiary Guarantor and (z) the collateral documentation and other collateral arrangements with respect to such Subsidiary shall be on terms reasonably satisfactory to the administrative agent under the Credit Agreement and (b) no Subsidiary of Parent that provides a guarantee of the Existing T-Mobile Unsecured Notes shall constitute an Excluded Subsidiary.</w:t>
      </w:r>
    </w:p>
    <w:p>
      <w:pPr>
        <w:spacing w:after="0" w:line="53"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Receivables Financing Subsidiaries</w:t>
      </w:r>
      <w:r>
        <w:rPr>
          <w:rFonts w:ascii="Arial" w:cs="Arial" w:eastAsia="Arial" w:hAnsi="Arial"/>
          <w:sz w:val="18"/>
          <w:szCs w:val="18"/>
          <w:color w:val="auto"/>
        </w:rPr>
        <w:t>” means each of T-Mobile Airtime Funding LLC, T-Mobile Handset Funding LLC, SFE 1, LLC and SFE 2, LLC, together with their successors and assigns and any Subsidiary of the foregoing.</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Financing Documents</w:t>
      </w:r>
      <w:r>
        <w:rPr>
          <w:rFonts w:ascii="Arial" w:cs="Arial" w:eastAsia="Arial" w:hAnsi="Arial"/>
          <w:sz w:val="18"/>
          <w:szCs w:val="18"/>
          <w:color w:val="auto"/>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spacing w:after="0" w:line="84"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Indenture</w:t>
      </w:r>
      <w:r>
        <w:rPr>
          <w:rFonts w:ascii="Arial" w:cs="Arial" w:eastAsia="Arial" w:hAnsi="Arial"/>
          <w:sz w:val="17"/>
          <w:szCs w:val="17"/>
          <w:color w:val="auto"/>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spacing w:after="0" w:line="63"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Issuers</w:t>
      </w:r>
      <w:r>
        <w:rPr>
          <w:rFonts w:ascii="Arial" w:cs="Arial" w:eastAsia="Arial" w:hAnsi="Arial"/>
          <w:sz w:val="18"/>
          <w:szCs w:val="18"/>
          <w:color w:val="auto"/>
        </w:rPr>
        <w:t>” means Sprint Spectrum Co LLC, Sprint Spectrum Co II LLC, Sprint Spectrum Co III LLC, and their successors and assigns.</w:t>
      </w:r>
    </w:p>
    <w:p>
      <w:pPr>
        <w:spacing w:after="0" w:line="62" w:lineRule="exact"/>
        <w:rPr>
          <w:sz w:val="20"/>
          <w:szCs w:val="20"/>
          <w:color w:val="auto"/>
        </w:rPr>
      </w:pPr>
    </w:p>
    <w:p>
      <w:pPr>
        <w:jc w:val="both"/>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Spectrum Lease</w:t>
      </w:r>
      <w:r>
        <w:rPr>
          <w:rFonts w:ascii="Arial" w:cs="Arial" w:eastAsia="Arial" w:hAnsi="Arial"/>
          <w:sz w:val="16"/>
          <w:szCs w:val="16"/>
          <w:color w:val="auto"/>
        </w:rPr>
        <w:t>” means the lease pursuant to the Intra-Company Spectrum Lease Agreement, dated as of October 27, 2016, among Sprint Spectrum License Holder LLC, Sprint Spectrum License Holder II LLC and Sprint Spectrum License Holder III LLC, Sprint Communications, Inc., Sprint Intermediate Holdco LLC, Sprint Intermediate Holdco II LLC, Sprint Intermediate Holdco III LLC and the guarantors named therein.</w:t>
      </w:r>
    </w:p>
    <w:p>
      <w:pPr>
        <w:spacing w:after="0" w:line="49"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Spectrum Note Entities</w:t>
      </w:r>
      <w:r>
        <w:rPr>
          <w:rFonts w:ascii="Arial" w:cs="Arial" w:eastAsia="Arial" w:hAnsi="Arial"/>
          <w:sz w:val="16"/>
          <w:szCs w:val="16"/>
          <w:color w:val="auto"/>
        </w:rPr>
        <w:t>” means, collectively, each of Sprint Spectrum Depositor LLC, Sprint Spectrum Depositor II LLC, Sprint Spectrum Depositor III LLC,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56"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Transaction</w:t>
      </w:r>
      <w:r>
        <w:rPr>
          <w:rFonts w:ascii="Arial" w:cs="Arial" w:eastAsia="Arial" w:hAnsi="Arial"/>
          <w:sz w:val="18"/>
          <w:szCs w:val="18"/>
          <w:color w:val="auto"/>
        </w:rPr>
        <w:t>” means the transactions contemplated by the Existing Sprint Spectrum Financing Documents, including the issuance of any Existing Sprint Spectrum-Backed Notes.</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Spectrum-Backed Notes</w:t>
      </w:r>
      <w:r>
        <w:rPr>
          <w:rFonts w:ascii="Arial" w:cs="Arial" w:eastAsia="Arial" w:hAnsi="Arial"/>
          <w:sz w:val="18"/>
          <w:szCs w:val="18"/>
          <w:color w:val="auto"/>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spacing w:after="0" w:line="79"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Unsecured Notes</w:t>
      </w:r>
      <w:r>
        <w:rPr>
          <w:rFonts w:ascii="Arial" w:cs="Arial" w:eastAsia="Arial" w:hAnsi="Arial"/>
          <w:sz w:val="16"/>
          <w:szCs w:val="16"/>
          <w:color w:val="auto"/>
        </w:rPr>
        <w:t>” means (i) the 6.875% Notes due 2028 issued pursuant to the Sprint Capital Corporation Indenture, as supplemented by that certain Officers’ Certificate dated as of November 16, 1998, (ii) the 8.750% Notes due 2032 issued pursuant to the Sprint Capital Corporation Indenture, as supplemented by that certain Officers’ Certificate dated as of March 8, 2002, (iii) the 11.500%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Inc. Indenture, as supplemented by that certain Sixth Supplemental Indenture dated as of November 14, 2012, between Sprint Communications, Inc. (formerly known as Sprint Nextel Corporation), and The Bank of New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York Trust Company, N.A., as trustee, (vi) 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w:t>
      </w:r>
    </w:p>
    <w:p>
      <w:pPr>
        <w:spacing w:after="0" w:line="6"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spacing w:after="0" w:line="70"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Secured Notes</w:t>
      </w:r>
      <w:r>
        <w:rPr>
          <w:rFonts w:ascii="Arial" w:cs="Arial" w:eastAsia="Arial" w:hAnsi="Arial"/>
          <w:sz w:val="16"/>
          <w:szCs w:val="16"/>
          <w:color w:val="auto"/>
        </w:rPr>
        <w:t>” means (w) with respect to the 2025 Notes, the 2027 Notes, the 2030 Notes, the 2040 Notes and the 2050 Notes, [reserved], (x) with respect to the 2026 Notes, the 2028 Notes and the February 2031 Notes, the U.S. dollar-denominated senior secured notes issued by the Issuer on April 9, 2020, as amended, restated, modified, renewed, refunded, replaced (whether upon or after termination or otherwise) or refinanced (including, in each case, by means of sales of debt securities) in whole or in part from time to time, (y) with respect to the 2041 Notes and the 2051 Notes, the U.S. dollar-denominated senior secured notes issued by the Issuer on April 9, 2020 and June 24, 2020, as amended, restated, modified, renewed, refunded, replaced (whether upon or after termination or otherwise) or refinanced (including, in each case, by means of sales of debt securities) in whole or in part from time to time and (z) with respect to the November 2031 Notes and the 2060 Notes, the U.S. dollar-denominated senior secured notes issued by the Issuer on April 9, 2020, June 24, 2020 and October 6, 2020, as amended, restated, modified, renewed, refunded, replaced (whether upon or after termination or otherwise) or refinanced (including, in each case, by means of sales of debt securities) in whole or in part from time to time.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T-Mobile Unsecured Notes</w:t>
      </w:r>
      <w:r>
        <w:rPr>
          <w:rFonts w:ascii="Arial" w:cs="Arial" w:eastAsia="Arial" w:hAnsi="Arial"/>
          <w:sz w:val="17"/>
          <w:szCs w:val="17"/>
          <w:color w:val="auto"/>
        </w:rPr>
        <w:t>” means (i) the 6.000% Senior Notes due 2023 issued pursuant to the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Indenture, dated as of April 28, 2013, among the Issuer, the guarantors party thereto and Deutsche Bank Trust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 Americas, as trustee (the “</w:t>
      </w:r>
      <w:r>
        <w:rPr>
          <w:rFonts w:ascii="Arial" w:cs="Arial" w:eastAsia="Arial" w:hAnsi="Arial"/>
          <w:sz w:val="18"/>
          <w:szCs w:val="18"/>
          <w:i w:val="1"/>
          <w:iCs w:val="1"/>
          <w:color w:val="auto"/>
        </w:rPr>
        <w:t>April 2013 Base Indenture</w:t>
      </w:r>
      <w:r>
        <w:rPr>
          <w:rFonts w:ascii="Arial" w:cs="Arial" w:eastAsia="Arial" w:hAnsi="Arial"/>
          <w:sz w:val="18"/>
          <w:szCs w:val="18"/>
          <w:color w:val="auto"/>
        </w:rPr>
        <w:t>”), as supplemented by that certain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Seventeenth Supplemental Indenture dated as of September 5, 2014, among T-Mobile USA, Inc., the guarantors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named therein and Deutsche Bank Trust Company Americas, as trustee, (ii) the 6.500% Senior Notes due 2024</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issued pursuant to the April 2013 Base Indenture, as supplemented by that certain Fifteenth Supplemental Indenture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dated as of November 21, 2013, among T-Mobile USA, Inc., the guarantors named therein and Deutsche Bank Trust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Company Americas, as trustee (which were redeemed on July 4, 2020), (iii) the 6.375% Senior Notes due 2025</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issued pursuant to the April 2013 Base Indenture, as supplemented by that certain Eighteenth Supplemental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Indenture dated as of September 5, 2014, among T-Mobile USA, Inc., the guarantors named therein and Deutsche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Bank Trust Company Americas, as trustee (which were redeemed on September 1, 2020), (iv) the 6.500% Senior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Notes due 2026 issued pursuant to the April 2013 Base Indenture, as supplemented by that certain Twentieth</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Supplemental Indenture dated as of November 5, 2015,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Deutsche Bank Trust Company Americas, as trustee (which were redeemed on March 27, 2020), (v) the 6.000%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2024 issued pursuant to the April 2013 Base Indenture, as supplemented by that certain Twenty-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First Supplemental Indenture dated as of April 1, 2016,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Deutsche Bank Trust Company Americas, as trustee, (vi) the 4.000% Senior Notes due 2022 issued pursuant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April 2013 Base Indenture, as supplemented by that certain Twenty-Third Supplemental Indenture dated as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March 16, 2017, among T-Mobile USA, Inc., the guarantors named therein and Deutsche Bank Trust Company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Americas, as trustee, (vii) the 5.125% Senior Notes due 2025 issued pursuant to the April 2013 Base Indenture, 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supplemented by that certain Twenty-Fourth Supplemental Indenture dated as of March 16, 2017, among T-Mobile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USA, Inc., the guarantors named therein and Deutsche Bank Trust Company Americas, as trustee, (viii) the 5.375%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2027 issued pursuant to the April 2013 Base Indenture, as supplemented by that certain Twenty-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Fifth Supplemental Indenture dated as of March 16, 2017,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Deutsche Bank Trust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4" w:lineRule="auto"/>
        <w:rPr>
          <w:sz w:val="20"/>
          <w:szCs w:val="20"/>
          <w:color w:val="auto"/>
        </w:rPr>
      </w:pPr>
      <w:r>
        <w:rPr>
          <w:rFonts w:ascii="Arial" w:cs="Arial" w:eastAsia="Arial" w:hAnsi="Arial"/>
          <w:sz w:val="16"/>
          <w:szCs w:val="16"/>
          <w:color w:val="auto"/>
        </w:rPr>
        <w:t>Americas, as trustee, (ix) the 4.000% Senior Notes due 2022-1 issued pursuant to the April 2013 Base Indenture, as supplemented by that certain Twenty-Sixth Supplemental Indenture dated as of April 27, 2017, among T-Mobile USA, Inc., the guarantors named therein and Deutsche Bank Trust Company Americas, as trustee, (x) the 5.125% Senior Notes due 2025-1 issued pursuant to the April 2013 Base Indenture, as supplemented by that certain Twenty-Seventh Supplemental Indenture dated as of April 28, 2017, among T-Mobile USA, Inc., the guarantors named therein and Deutsche Bank Trust Company Americas, as trustee (which were redeemed on July 4, 2020), (xi) the</w:t>
      </w:r>
    </w:p>
    <w:p>
      <w:pPr>
        <w:spacing w:after="0" w:line="4" w:lineRule="exact"/>
        <w:rPr>
          <w:sz w:val="20"/>
          <w:szCs w:val="20"/>
          <w:color w:val="auto"/>
        </w:rPr>
      </w:pPr>
    </w:p>
    <w:p>
      <w:pPr>
        <w:ind w:left="300" w:right="359"/>
        <w:spacing w:after="0" w:line="281" w:lineRule="auto"/>
        <w:rPr>
          <w:sz w:val="20"/>
          <w:szCs w:val="20"/>
          <w:color w:val="auto"/>
        </w:rPr>
      </w:pPr>
      <w:r>
        <w:rPr>
          <w:rFonts w:ascii="Arial" w:cs="Arial" w:eastAsia="Arial" w:hAnsi="Arial"/>
          <w:sz w:val="16"/>
          <w:szCs w:val="16"/>
          <w:color w:val="auto"/>
        </w:rPr>
        <w:t>5.375% Senior Notes due 2027-1 issued pursuant to the April 2013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Merger), (xii) the 5.300% Senior Notes due 2021 issued pursuant to the April 2013 Base Indenture, as supplemented by that certain Twenty-Ninth Supplemental Indenture dated as of May 9, 2017, among T-Mobile USA, Inc., the guarantors named therein and Deutsche Bank Trust Company Americas, as trustee (which were repurchased and canceled in connection with the Merger),</w:t>
      </w:r>
    </w:p>
    <w:p>
      <w:pPr>
        <w:spacing w:after="0" w:line="4" w:lineRule="exact"/>
        <w:rPr>
          <w:sz w:val="20"/>
          <w:szCs w:val="20"/>
          <w:color w:val="auto"/>
        </w:rPr>
      </w:pPr>
    </w:p>
    <w:p>
      <w:pPr>
        <w:ind w:left="300" w:right="419" w:hanging="8"/>
        <w:spacing w:after="0" w:line="281"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6.000% Senior Notes due 2024 issued pursuant to the April 2013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Merger), (xiv) the 4.500% Senior Notes due 2026 issued pursuant to the April 2013 Base Indenture, as supplemented by that certain Thirty-Second Supplemental Indenture, dated as of January 25, 2018,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339" w:hanging="8"/>
        <w:spacing w:after="0" w:line="283" w:lineRule="auto"/>
        <w:tabs>
          <w:tab w:leader="none" w:pos="64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4.750% Senior Notes due 2028 issued pursuant to the April 2013 Base Indenture, as supplemented by that certain Thirty-Third Supplemental Indenture dated as of January 25, 2018, among T-Mobile USA, Inc., the guarantors named therein and Deutsche Bank Trust Company Americas, as trustee, (xvi) the 4.500% Senior Notes due 2026-1 issued pursuant to the April 2013 Base Indenture, as supplemented by that certain Thirty-Fifth Supplemental Indenture, dated as of April 30, 2018, among T-Mobile USA, Inc., the guarantors named therein and Deutsche Bank Trust Company Americas, as trustee, (xvii)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(xviii) the 2.250% Senior Notes due 2026 issued pursuant to the Base Indenture, as supplemented by that certain Forty-Third Supplemental Indenture, dated as of January 14, 2021, among T-Mobile USA, Inc., the guarantors named therein and Deutsche Bank Trust Company Americas, as trustee, (xix) the 2.625% Senior Notes due 2029 issued pursuant to the Base Indenture, as supplemented by that certain Forty-Fourth Supplemental Indenture, dated as of January 14, 2021, among T-Mobile USA, Inc., the guarantors named therein and Deutsche Bank Trust Company Americas, as trustee, (xx) the 2.875% Senior Notes due 2031 issued pursuant to the Base Indenture, as supplemented by that certain Forty-Fifth Supplemental Indenture, dated as of January 14, 2021, among T-Mobile USA, Inc., the guarantors named therein and Deutsche Bank Trust Company Americas, as trustee, (xxi) the 2.625% Senior Notes due 2026 issued pursuant to the Base Indenture, as supplemented by that certain Forty-Sixth Supplemental Indenture, dated as of March 23, 2021, among T-Mobile USA, Inc., the guarantors named therein and Deutsche Bank Trust Company Americas, as trustee, (xxii) the 3.375% Senior Notes due 2029 issued pursuant to the Base Indenture, as supplemented by that certain Forty-Seventh Supplemental Indenture, dated as of March 23, 2021, among T-Mobile USA, Inc., the guarantors named therein and Deutsche Bank Trust Company Americas, as trustee, (xxiii)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spacing w:after="0" w:line="7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xml:space="preserve">” means the value that would be paid by a buyer to an unaffiliated seller, determined in good faith by the Issuer’s Board of Directors or a senior officer of the Issuer, which determination shall be conclusive;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sale, lease, license or other disposition of assets in connection with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required regulatory divestitures) shall be deemed to be for Fair Market Value regardless of whether such sale, lease, license or other disposition meets the requirement of this definition.</w:t>
      </w:r>
    </w:p>
    <w:p>
      <w:pPr>
        <w:spacing w:after="0" w:line="68"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w:t>
      </w:r>
      <w:r>
        <w:rPr>
          <w:rFonts w:ascii="Arial" w:cs="Arial" w:eastAsia="Arial" w:hAnsi="Arial"/>
          <w:sz w:val="18"/>
          <w:szCs w:val="18"/>
          <w:color w:val="auto"/>
        </w:rPr>
        <w:t>” means the United States Federal Communications Commission and any successor agency that is responsible for regulating the United States telecommunications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 Licenses</w:t>
      </w:r>
      <w:r>
        <w:rPr>
          <w:rFonts w:ascii="Arial" w:cs="Arial" w:eastAsia="Arial" w:hAnsi="Arial"/>
          <w:sz w:val="18"/>
          <w:szCs w:val="18"/>
          <w:color w:val="auto"/>
        </w:rPr>
        <w:t>” means all licenses or permits now or hereafter issued by the FCC.</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Lease Obligation</w:t>
      </w:r>
      <w:r>
        <w:rPr>
          <w:rFonts w:ascii="Arial" w:cs="Arial" w:eastAsia="Arial" w:hAnsi="Arial"/>
          <w:sz w:val="18"/>
          <w:szCs w:val="18"/>
          <w:color w:val="auto"/>
        </w:rPr>
        <w:t>” means, at the time any determination is to be made, the amount of the liability in respect of a financing lease that would at that time be required to be capitalized and reflected as a liability on a balance sheet prepared in accordance with GAAP.</w:t>
      </w:r>
    </w:p>
    <w:p>
      <w:pPr>
        <w:spacing w:after="0" w:line="76"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xml:space="preserve">” means any Indebtedness that is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that secure the Notes.</w:t>
      </w:r>
    </w:p>
    <w:p>
      <w:pPr>
        <w:spacing w:after="0" w:line="62" w:lineRule="exact"/>
        <w:rPr>
          <w:sz w:val="20"/>
          <w:szCs w:val="20"/>
          <w:color w:val="auto"/>
        </w:rPr>
      </w:pPr>
    </w:p>
    <w:p>
      <w:pPr>
        <w:ind w:left="300" w:right="4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Additional Debt</w:t>
      </w:r>
      <w:r>
        <w:rPr>
          <w:rFonts w:ascii="Arial" w:cs="Arial" w:eastAsia="Arial" w:hAnsi="Arial"/>
          <w:sz w:val="17"/>
          <w:szCs w:val="17"/>
          <w:color w:val="auto"/>
        </w:rPr>
        <w:t xml:space="preserve">” means, collectively, any Indebtedness or other obligation designated by the Issuer as “First Priority Additional Debt”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Indebtedness or other obligation is permitted to be incurred and secured on such basis by each First Priority Debt Document and each Junior Priority Debt Document and (ii) the Holder Representative in respect of such Indebtedness or other obligation shall have become party to the Intercreditor Agreement.</w:t>
      </w:r>
    </w:p>
    <w:p>
      <w:pPr>
        <w:spacing w:after="0" w:line="68"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Additional Debt Documents</w:t>
      </w:r>
      <w:r>
        <w:rPr>
          <w:rFonts w:ascii="Arial" w:cs="Arial" w:eastAsia="Arial" w:hAnsi="Arial"/>
          <w:sz w:val="18"/>
          <w:szCs w:val="18"/>
          <w:color w:val="auto"/>
        </w:rPr>
        <w:t>” means any agreements or other documents entered into in connection with any First Priority Additional Debt.</w:t>
      </w:r>
    </w:p>
    <w:p>
      <w:pPr>
        <w:spacing w:after="0" w:line="62"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Additional Sale/Leaseback Obligations</w:t>
      </w:r>
      <w:r>
        <w:rPr>
          <w:rFonts w:ascii="Arial" w:cs="Arial" w:eastAsia="Arial" w:hAnsi="Arial"/>
          <w:sz w:val="17"/>
          <w:szCs w:val="17"/>
          <w:color w:val="auto"/>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any Intra-Company Lease Agreement referred to in clause (ii) of the definition thereof (and the Initial Intra-Company Spectrum Lease Agreement to the extent relating to additional sales or transfers of Spectrum effected after the date of the Intercreditor Agreement and any additional issuances of notes thereby) and (ii) any Performance Agreement referred to in clause (ii) of the definition thereof (and the Initial Spectrum Performance Agreement to the extent relating to additional sales or transfers of Spectrum effected after the date of the Intercreditor Agreement and any additional issuances of notes thereby), in each case, whether on account of principal, lease payments, guarantee payments, interest, reimbursement obligations, fees, prepayment premiums, liquidated damages, indemnities, costs, expenses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Intercreditor Agreement or in any other documents or agreements (and regardless of any underlying actual amounts owing or outstanding), the total amount of such obligations that may constitute “First Priority Additional Sale/Leaseback Obligations” shall be limited to an aggregate amount not to exceed the amounts expressly set forth in the Notices of Designation with respect to such First Priority Additional Sale/Leaseback Obligations pursuant to the Intercreditor Agreement.</w:t>
      </w:r>
    </w:p>
    <w:p>
      <w:pPr>
        <w:spacing w:after="0" w:line="72" w:lineRule="exact"/>
        <w:rPr>
          <w:sz w:val="20"/>
          <w:szCs w:val="20"/>
          <w:color w:val="auto"/>
        </w:rPr>
      </w:pPr>
    </w:p>
    <w:p>
      <w:pPr>
        <w:ind w:left="300" w:right="53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Additional Secured Obligations</w:t>
      </w:r>
      <w:r>
        <w:rPr>
          <w:rFonts w:ascii="Arial" w:cs="Arial" w:eastAsia="Arial" w:hAnsi="Arial"/>
          <w:sz w:val="16"/>
          <w:szCs w:val="16"/>
          <w:color w:val="auto"/>
        </w:rPr>
        <w:t>” means, collectively, the unpaid principal of, and interest on, any First Priority Additional Debt and all other obligations and liabilities of the Issuer or any Secured Guarantor (including, without limitation, interest accruing at the then applicable rate provided in the applicable First Priority Additional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w:t>
      </w:r>
    </w:p>
    <w:p>
      <w:pPr>
        <w:spacing w:after="0" w:line="4" w:lineRule="exact"/>
        <w:rPr>
          <w:sz w:val="20"/>
          <w:szCs w:val="20"/>
          <w:color w:val="auto"/>
        </w:rPr>
      </w:pPr>
    </w:p>
    <w:p>
      <w:pPr>
        <w:ind w:left="300" w:right="339"/>
        <w:spacing w:after="0" w:line="292" w:lineRule="auto"/>
        <w:rPr>
          <w:sz w:val="20"/>
          <w:szCs w:val="20"/>
          <w:color w:val="auto"/>
        </w:rPr>
      </w:pPr>
      <w:r>
        <w:rPr>
          <w:rFonts w:ascii="Arial" w:cs="Arial" w:eastAsia="Arial" w:hAnsi="Arial"/>
          <w:sz w:val="16"/>
          <w:szCs w:val="16"/>
          <w:color w:val="auto"/>
        </w:rPr>
        <w:t>First Priority Additional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the First Priority Agent, the applicable Holder Representative or to the holders of such First Priority Additional Debt that are required to be paid by the Issuer or any of the Secured Guarantors pursuant to the terms of any of foregoing agreements).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Agent</w:t>
      </w:r>
      <w:r>
        <w:rPr>
          <w:rFonts w:ascii="Arial" w:cs="Arial" w:eastAsia="Arial" w:hAnsi="Arial"/>
          <w:sz w:val="18"/>
          <w:szCs w:val="18"/>
          <w:color w:val="auto"/>
        </w:rPr>
        <w:t>” means:</w:t>
      </w:r>
    </w:p>
    <w:p>
      <w:pPr>
        <w:spacing w:after="0" w:line="117" w:lineRule="exact"/>
        <w:rPr>
          <w:sz w:val="20"/>
          <w:szCs w:val="20"/>
          <w:color w:val="auto"/>
        </w:rPr>
      </w:pPr>
    </w:p>
    <w:p>
      <w:pPr>
        <w:ind w:left="1000" w:right="299" w:hanging="348"/>
        <w:spacing w:after="0" w:line="290"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until such time as a successor “First Priority Agent” is designated pursuant to clause (a)(ii) or (b) below, Deutsche Bank AG New York Branch, as Holder Representative in respect of the Credit Agreement (or any successor appointed in accordance with the terms of the Credit Agreement, or any administrative agent or analogous function under any successor Credit Agreement) and (ii) to the extent there are two or more Syndicated Credit Agreements outstanding that comprise First Priority Secured Obligations, the Holder Representative in respect of the Syndicated Credit Agreement designated (if different and so designated) as “First Priority Agent” in writing by the Issuer and representing the highest outstanding amount of such Syndicated Credit Agreements that comprise First Priority Secured Obligations;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1"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at any time when the aggregate outstanding amount of Indebtedness and unfunded commitments under the Initial Syndicated Credit Agreement (and any other First Priority Credit Agreement incurred to Refinance the Initial Syndicated Credit Agreement) and other Syndicated Credit Agreements referenced in clause (a) (ii) above is less than $1,000,000,000, (i) the agent or trustee designated as “First Priority Agent” by the Majority First Priority Secured Parties (or their Holder Representatives) or (ii) in the event the Majority First Priority Secured Parties (or their Holder Representatives) have not designated a First Priority Agent, then the Holder Representative for the series of obligations constituting the then highest outstanding amount of First Priority Secured Obligations.</w:t>
      </w:r>
    </w:p>
    <w:p>
      <w:pPr>
        <w:spacing w:after="0" w:line="7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Bridge Credit Agreement Documents</w:t>
      </w:r>
      <w:r>
        <w:rPr>
          <w:rFonts w:ascii="Arial" w:cs="Arial" w:eastAsia="Arial" w:hAnsi="Arial"/>
          <w:sz w:val="18"/>
          <w:szCs w:val="18"/>
          <w:color w:val="auto"/>
        </w:rPr>
        <w:t>” shall mean the Bridge Credit Agreement and the other “Loan Documents” (or similar term) under and as defined in the Bridge Credit Agreement and any other agreements or documents entered into in connection with the Bridge Credit Agreement.</w:t>
      </w:r>
    </w:p>
    <w:p>
      <w:pPr>
        <w:spacing w:after="0" w:line="76"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Bridge Credit Agreement Obligations</w:t>
      </w:r>
      <w:r>
        <w:rPr>
          <w:rFonts w:ascii="Arial" w:cs="Arial" w:eastAsia="Arial" w:hAnsi="Arial"/>
          <w:sz w:val="17"/>
          <w:szCs w:val="17"/>
          <w:color w:val="auto"/>
        </w:rPr>
        <w:t>” shall mean, collectively, the unpaid principal of and interest on the loans and all other obligations and liabilities of the grantors (including, without limitation, interest accruing at the then applicable rate provided in the Bridge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Bridge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applicable Holder Representatives or the lenders that are required to be paid by the grantors pursuant to the terms of any of the foregoing agreements).</w:t>
      </w:r>
    </w:p>
    <w:p>
      <w:pPr>
        <w:spacing w:after="0" w:line="7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Class</w:t>
      </w:r>
      <w:r>
        <w:rPr>
          <w:rFonts w:ascii="Arial" w:cs="Arial" w:eastAsia="Arial" w:hAnsi="Arial"/>
          <w:sz w:val="17"/>
          <w:szCs w:val="17"/>
          <w:color w:val="auto"/>
        </w:rPr>
        <w:t>” means, collectively, (a) with respect to any First Priority Debt Documents (other than those referred to in clause (b) below), the Secured Parties which are holders of any of the First Priority Secured Obligations under the Intercreditor Agreement, and (b) with respect to the Intra-Company Lease Agreements and the Performance Agreements, the Secured Parties represented by the relevant Holder Representatives.</w:t>
      </w:r>
    </w:p>
    <w:p>
      <w:pPr>
        <w:spacing w:after="0" w:line="6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w:t>
      </w:r>
      <w:r>
        <w:rPr>
          <w:rFonts w:ascii="Arial" w:cs="Arial" w:eastAsia="Arial" w:hAnsi="Arial"/>
          <w:sz w:val="17"/>
          <w:szCs w:val="17"/>
          <w:color w:val="auto"/>
        </w:rPr>
        <w:t>” means (i) the Credit Agreement and (ii) any other Syndicated Credit Agreement or other credit agreement, loan agreement, note agreement, promissory note, indenture or other agreement or instrument evidencing or governing the terms of any Indebtedness or other financial accommodation that has been incurred to Refinance (whether by the same or different lenders) in whole or in part (under one or more agreements) the Indebtedness and other obligations outstanding under the Initial Syndicated Credit Agreement or any other agreement or instrument referred to in this clause (ii) (including, without limitation, increasing the amount available for borrowing or adding or removing Persons as a borrower, guarantor or other obligor thereunder) unless such agreement or instrument (or applicable Notice of Designation) expressly provides that it is not a First Priority Credit Agreement hereunder.</w:t>
      </w:r>
    </w:p>
    <w:p>
      <w:pPr>
        <w:spacing w:after="0" w:line="73"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 Documents</w:t>
      </w:r>
      <w:r>
        <w:rPr>
          <w:rFonts w:ascii="Arial" w:cs="Arial" w:eastAsia="Arial" w:hAnsi="Arial"/>
          <w:sz w:val="17"/>
          <w:szCs w:val="17"/>
          <w:color w:val="auto"/>
        </w:rPr>
        <w:t>” means each First Priority Credit Agreement and the other “Loan Documents” (or similar term) under and as defined in each First Priority Credit Agreement and any other agreements or documents entered into in connection with any First Priority Credit Agreement.</w:t>
      </w:r>
    </w:p>
    <w:p>
      <w:pPr>
        <w:spacing w:after="0" w:line="5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 Obligations</w:t>
      </w:r>
      <w:r>
        <w:rPr>
          <w:rFonts w:ascii="Arial" w:cs="Arial" w:eastAsia="Arial" w:hAnsi="Arial"/>
          <w:sz w:val="17"/>
          <w:szCs w:val="17"/>
          <w:color w:val="auto"/>
        </w:rPr>
        <w:t>” shall mean, collectively, the unpaid principal of and interest on the loans and all other obligations and liabilities of the Issuer and the Secured Guarantors (including, without limitation, interest accruing at the then applicable rate provided in any First Priority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First Priority Agent, applicable Holder Representatives or the lenders that are required to be paid by the Issuer or the Secured Guarantors pursuant to the terms of any of the foregoing agreements).</w:t>
      </w:r>
    </w:p>
    <w:p>
      <w:pPr>
        <w:spacing w:after="0" w:line="74"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Debt Document</w:t>
      </w:r>
      <w:r>
        <w:rPr>
          <w:rFonts w:ascii="Arial" w:cs="Arial" w:eastAsia="Arial" w:hAnsi="Arial"/>
          <w:sz w:val="17"/>
          <w:szCs w:val="17"/>
          <w:color w:val="auto"/>
        </w:rPr>
        <w:t>” means the First Priority Credit Agreement Documents, the First Priority Bridge Credit Agreement Documents, any Intra-Company Lease Agreement, any Performance Agreement,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 xml:space="preserve">Notes Documents, any First Priority Additional Debt Documents and any agreements or other documents entered into in connection with any First Priority Additional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on or after an Investment Grade Event Election, the Notes Documents shall no longer constitute First Priority Debt Documents under the Intercreditor Agreement.</w:t>
      </w:r>
    </w:p>
    <w:p>
      <w:pPr>
        <w:spacing w:after="0" w:line="79"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Initial Spectrum Obligations</w:t>
      </w:r>
      <w:r>
        <w:rPr>
          <w:rFonts w:ascii="Arial" w:cs="Arial" w:eastAsia="Arial" w:hAnsi="Arial"/>
          <w:sz w:val="17"/>
          <w:szCs w:val="17"/>
          <w:color w:val="auto"/>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Secured Guarantors pursuant to the terms of any of the foregoing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Intercreditor Agreement or in any other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spacing w:after="0" w:line="7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Notes</w:t>
      </w:r>
      <w:r>
        <w:rPr>
          <w:rFonts w:ascii="Arial" w:cs="Arial" w:eastAsia="Arial" w:hAnsi="Arial"/>
          <w:sz w:val="18"/>
          <w:szCs w:val="18"/>
          <w:color w:val="auto"/>
        </w:rPr>
        <w:t>” means the Notes and any additional notes, in each case, issued from time to time under the Base Indenture that constitute First Lien Obligations.</w:t>
      </w:r>
    </w:p>
    <w:p>
      <w:pPr>
        <w:spacing w:after="0" w:line="62" w:lineRule="exact"/>
        <w:rPr>
          <w:sz w:val="20"/>
          <w:szCs w:val="20"/>
          <w:color w:val="auto"/>
        </w:rPr>
      </w:pPr>
    </w:p>
    <w:p>
      <w:pPr>
        <w:ind w:left="300" w:right="7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Notes Obligations</w:t>
      </w:r>
      <w:r>
        <w:rPr>
          <w:rFonts w:ascii="Arial" w:cs="Arial" w:eastAsia="Arial" w:hAnsi="Arial"/>
          <w:sz w:val="17"/>
          <w:szCs w:val="17"/>
          <w:color w:val="auto"/>
        </w:rPr>
        <w:t>” means, collectively, the unpaid principal of and interest on the Notes Documents and all other obligations and liabilities of the Issuer (including, without limitation, Post-Petition Interest), whether direct or indirect, absolute or contingent, due or to become due, or now existing or hereafter incurred, which may arise under, out of, or in connection with the Notes Documents.</w:t>
      </w:r>
    </w:p>
    <w:p>
      <w:pPr>
        <w:spacing w:after="0" w:line="63" w:lineRule="exact"/>
        <w:rPr>
          <w:sz w:val="20"/>
          <w:szCs w:val="20"/>
          <w:color w:val="auto"/>
        </w:rPr>
      </w:pPr>
    </w:p>
    <w:p>
      <w:pPr>
        <w:ind w:left="300" w:right="4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Secured Obligations</w:t>
      </w:r>
      <w:r>
        <w:rPr>
          <w:rFonts w:ascii="Arial" w:cs="Arial" w:eastAsia="Arial" w:hAnsi="Arial"/>
          <w:sz w:val="16"/>
          <w:szCs w:val="16"/>
          <w:color w:val="auto"/>
        </w:rPr>
        <w:t>” means, without duplication, (a) all First Priority Credit Agreement Obligations and all Permitted First Priority Non-Loan Exposure; (b) all First Priority Initial Spectrum Obligations;</w:t>
      </w:r>
    </w:p>
    <w:p>
      <w:pPr>
        <w:ind w:left="300" w:right="339" w:hanging="8"/>
        <w:spacing w:after="0" w:line="251" w:lineRule="auto"/>
        <w:tabs>
          <w:tab w:leader="none" w:pos="5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First Priority Additional Sale/Leaseback Obligations; (d) all First Priority Notes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an Investment Grade Event Election, the First Priority Notes Obligations shall cease to be “First Priority Secured Obligations”), (e) all First Priority Bridge Credit Agreement Obligations and (f) all other First Priority Additional Secured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any payment with respect to the First Priority Secured Obligations (whether by or on behalf of the Issuer or any Secured Guarantor,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8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Secured Parties</w:t>
      </w:r>
      <w:r>
        <w:rPr>
          <w:rFonts w:ascii="Arial" w:cs="Arial" w:eastAsia="Arial" w:hAnsi="Arial"/>
          <w:sz w:val="18"/>
          <w:szCs w:val="18"/>
          <w:color w:val="auto"/>
        </w:rPr>
        <w:t>” means at any time the Collateral Trustee (in its capacity as the holder of the Lien on the Collateral securing the First Priority Secured Obligations), the First Priority Agent and any other holder of First Priority Secured Obligations outstanding at such time (and including, for the avoidance of doubt, any Holder Representative in respect of such First Priority Secured Obligations).</w:t>
      </w:r>
    </w:p>
    <w:p>
      <w:pPr>
        <w:spacing w:after="0" w:line="79"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Security Documents</w:t>
      </w:r>
      <w:r>
        <w:rPr>
          <w:rFonts w:ascii="Arial" w:cs="Arial" w:eastAsia="Arial" w:hAnsi="Arial"/>
          <w:sz w:val="17"/>
          <w:szCs w:val="17"/>
          <w:color w:val="auto"/>
        </w:rPr>
        <w:t>” means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in favor of the Collateral Trustee, for the benefit of any holder of the First Priority Secured Obligations, in each case, as amended, modified, renewed, extended, restated or replaced, in whole or in part, from time to time, in accordance with its terms.</w:t>
      </w:r>
    </w:p>
    <w:p>
      <w:pPr>
        <w:spacing w:after="0" w:line="69"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Voting Obligations</w:t>
      </w:r>
      <w:r>
        <w:rPr>
          <w:rFonts w:ascii="Arial" w:cs="Arial" w:eastAsia="Arial" w:hAnsi="Arial"/>
          <w:sz w:val="16"/>
          <w:szCs w:val="16"/>
          <w:color w:val="auto"/>
        </w:rPr>
        <w:t>” means, as of any date (a) all extensions of credit (and, if no Notice of Acceleration is outstanding with respect thereto, unfunded commitments) eligible to be voted on with respect to a relevant matter under the First Priority Debt Documents (other than the Intra-Company Lease Agreements and Performance Agreements) on such date, plus (b) all Secured Spectrum and Sale/Leaseback Amounts as of such date.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of Parent other than a Subsidiary organized under the laws of the United States or any state of the United States or the District of Columbia.</w:t>
      </w:r>
    </w:p>
    <w:p>
      <w:pPr>
        <w:spacing w:after="0" w:line="62"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FSHCO</w:t>
      </w:r>
      <w:r>
        <w:rPr>
          <w:rFonts w:ascii="Arial" w:cs="Arial" w:eastAsia="Arial" w:hAnsi="Arial"/>
          <w:sz w:val="16"/>
          <w:szCs w:val="16"/>
          <w:color w:val="auto"/>
        </w:rPr>
        <w:t>” means any Subsidiary of Parent that owns no material assets (directly or through Subsidiaries) other than Equity Interests (or Equity Interests and Indebtedness) in one or more Foreign Subsidiaries that are CFCs.</w:t>
      </w:r>
    </w:p>
    <w:p>
      <w:pPr>
        <w:spacing w:after="0" w:line="16"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spacing w:after="0" w:line="6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79"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80"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means any permit, license, authorization, plan, directive, consent, permission, consent order or consent decree of or from any Governmental Authority, including but not limited to FCC Licenses.</w:t>
      </w:r>
    </w:p>
    <w:p>
      <w:pPr>
        <w:spacing w:after="0" w:line="1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of instruments for deposit or collection in the ordinary course of business or customary indemnity obligations in effect on the date of the consummation of the Merger or entered into in connection with any acquisition or disposition permitted under the Indenture (other than such obligations with respect to Indebtedness).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spacing w:after="0" w:line="59"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Guarantor</w:t>
      </w:r>
      <w:r>
        <w:rPr>
          <w:rFonts w:ascii="Arial" w:cs="Arial" w:eastAsia="Arial" w:hAnsi="Arial"/>
          <w:sz w:val="16"/>
          <w:szCs w:val="16"/>
          <w:color w:val="auto"/>
        </w:rPr>
        <w:t>” means, with respect to the Notes of any series, any Person who has guaranteed the obligations of the Issuer under the Indenture until released from its Note Guarantee pursuant to the provisions of the Indenture.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29" w:lineRule="exact"/>
        <w:rPr>
          <w:sz w:val="20"/>
          <w:szCs w:val="20"/>
          <w:color w:val="auto"/>
        </w:rPr>
      </w:pPr>
    </w:p>
    <w:p>
      <w:pPr>
        <w:ind w:left="1000" w:right="51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3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guarantee in respect thereof.</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Holder Representative</w:t>
      </w:r>
      <w:r>
        <w:rPr>
          <w:rFonts w:ascii="Arial" w:cs="Arial" w:eastAsia="Arial" w:hAnsi="Arial"/>
          <w:sz w:val="17"/>
          <w:szCs w:val="17"/>
          <w:color w:val="auto"/>
        </w:rPr>
        <w:t>” means (i) in respect of the Credit Agreement, the Credit Facility Agent, (ii) in respect of the First Priority Initial Spectrum Obligations, Deutsche Bank Trust Company Americas, not in its individual capacity but solely as trustee, (iii) in respect of the First Priority Notes, Deutsche Bank Trust Company Americas, not in its individual capacity but solely as trustee under the Base Indenture, (iv) in respect of any First Priority Additional Sale/Leaseback Obligations, the agent, trustee or other designee, as applicable, identified in the applicable Notice of Designation for the obligees of such obligations, (v) in respect of the Bridge Credit Agreement, Goldman Sachs Bank USA, as administrative agent, (vi) in respect of any First Priority Additional Debt, the agent, trustee or other designee, as applicable, identified in the applicable Notice of Designation for the holders of such obligations and (vii) in respect of any Junior Priority Secured Obligations, the agent, trustee or other designee, as applicable, identified in the applicable Notice of Designation for the holders of such obligations together, in each case, with its successors.</w:t>
      </w:r>
    </w:p>
    <w:p>
      <w:pPr>
        <w:spacing w:after="0" w:line="74"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international accounting standards promulgated by the International Accounting Standards Board and its predecessors, as adopted by the European Union, as in effect from time to time.</w:t>
      </w:r>
    </w:p>
    <w:p>
      <w:pPr>
        <w:spacing w:after="0" w:line="38"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xml:space="preserve">” means any Subsidiary of the Issuer that at any time has Consolidated Total Assets accounting for less than 2.50% of the Issuer’s Consolidated Total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Consolidated Total Assets of all Immaterial Subsidiaries shall not at any time exceed 5.00% of the Issuer’s Consolidated Total Assets.</w:t>
      </w:r>
    </w:p>
    <w:p>
      <w:pPr>
        <w:spacing w:after="0" w:line="79" w:lineRule="exact"/>
        <w:rPr>
          <w:sz w:val="20"/>
          <w:szCs w:val="20"/>
          <w:color w:val="auto"/>
        </w:rPr>
      </w:pPr>
    </w:p>
    <w:p>
      <w:pPr>
        <w:ind w:left="300" w:right="9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create, incur, issue, assume, guarantee or otherwise become directly or indirectly liable, contingently or otherwise. The term “incurrence” has a correlative meaning.</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without duplication,</w:t>
      </w:r>
    </w:p>
    <w:p>
      <w:pPr>
        <w:spacing w:after="0" w:line="117" w:lineRule="exact"/>
        <w:rPr>
          <w:sz w:val="20"/>
          <w:szCs w:val="20"/>
          <w:color w:val="auto"/>
        </w:rPr>
      </w:pPr>
    </w:p>
    <w:p>
      <w:pPr>
        <w:ind w:left="1000" w:right="97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indebtedness of such Person (excluding accrued expenses and trade payables), whether or not contingent: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379" w:hanging="348"/>
        <w:spacing w:after="0" w:line="259"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Towers Transactions;</w:t>
      </w:r>
    </w:p>
    <w:p>
      <w:pPr>
        <w:spacing w:after="0" w:line="62"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Notwithstanding the foregoing, the following shall not constitute Indebtedness: (1) accrued expenses and trade accounts payable arising in the ordinary course of business; (2) any indebtedness that has been defeased in accordance with GAAP or defeased pursuant to the deposit of cash or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indebtedness; (3) any obligation arising from the honoring by a bank or other financial institution of a check, draft or similar instrument drawn against insufficient funds in the ordinary course of business; (4) any obligation arising from any agreement providing for indemnities, Guarantees, escrows, purchase price adjustments, holdbacks, contingency payment obligations based on the performance of the acquired or disposed assets or similar obligations (other than Guarantees of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000" w:hanging="348"/>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issued with original issue discount;</w:t>
      </w:r>
    </w:p>
    <w:p>
      <w:pPr>
        <w:spacing w:after="0" w:line="140" w:lineRule="exact"/>
        <w:rPr>
          <w:rFonts w:ascii="Arial" w:cs="Arial" w:eastAsia="Arial" w:hAnsi="Arial"/>
          <w:sz w:val="16"/>
          <w:szCs w:val="16"/>
          <w:color w:val="auto"/>
        </w:rPr>
      </w:pPr>
    </w:p>
    <w:p>
      <w:pPr>
        <w:ind w:left="1000" w:right="499" w:hanging="348"/>
        <w:spacing w:after="0" w:line="308"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17" w:lineRule="exact"/>
        <w:rPr>
          <w:sz w:val="20"/>
          <w:szCs w:val="20"/>
          <w:color w:val="auto"/>
        </w:rPr>
      </w:pPr>
    </w:p>
    <w:p>
      <w:pPr>
        <w:ind w:left="300" w:right="7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 for Borrowed Money</w:t>
      </w:r>
      <w:r>
        <w:rPr>
          <w:rFonts w:ascii="Arial" w:cs="Arial" w:eastAsia="Arial" w:hAnsi="Arial"/>
          <w:sz w:val="17"/>
          <w:szCs w:val="17"/>
          <w:color w:val="auto"/>
        </w:rPr>
        <w:t>” means, with respect to any specified Person, without duplication, the Indebtedness described in clauses (a)(1) and (a)(2) of the definition of “Indebtedness.”</w:t>
      </w:r>
    </w:p>
    <w:p>
      <w:pPr>
        <w:spacing w:after="0" w:line="3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Intra-Company Spectrum Lease Agreement</w:t>
      </w:r>
      <w:r>
        <w:rPr>
          <w:rFonts w:ascii="Arial" w:cs="Arial" w:eastAsia="Arial" w:hAnsi="Arial"/>
          <w:sz w:val="18"/>
          <w:szCs w:val="18"/>
          <w:color w:val="auto"/>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spacing w:after="0" w:line="79"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Spectrum Performance Agreement</w:t>
      </w:r>
      <w:r>
        <w:rPr>
          <w:rFonts w:ascii="Arial" w:cs="Arial" w:eastAsia="Arial" w:hAnsi="Arial"/>
          <w:sz w:val="16"/>
          <w:szCs w:val="16"/>
          <w:color w:val="auto"/>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spacing w:after="0" w:line="41" w:lineRule="exact"/>
        <w:rPr>
          <w:sz w:val="20"/>
          <w:szCs w:val="20"/>
          <w:color w:val="auto"/>
        </w:rPr>
      </w:pPr>
    </w:p>
    <w:p>
      <w:pPr>
        <w:ind w:left="300" w:right="55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Insolvency Proceeding</w:t>
      </w:r>
      <w:r>
        <w:rPr>
          <w:rFonts w:ascii="Arial" w:cs="Arial" w:eastAsia="Arial" w:hAnsi="Arial"/>
          <w:sz w:val="17"/>
          <w:szCs w:val="17"/>
          <w:color w:val="auto"/>
        </w:rPr>
        <w:t>” means each of the following, in each case with respect to the Issuer or any Secured Guarantor or any property or Indebtedness of the Issuer or any Secured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70"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collectively, all rights, priorities and privileges relating to intellectual property, whether arising under United States, state, multinational or foreign laws or otherwise, including copyrights, copyright licenses, patents, patent licenses, trademarks, trademark licenses, service marks, trade dress, domain names, technology, know-how and processes, recipes, formulas, trade secrets and all rights to sue at law or in equity for any infringement or other impairment thereof, including the right to receive all proceeds and damages therefrom.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 Event of Default</w:t>
      </w:r>
      <w:r>
        <w:rPr>
          <w:rFonts w:ascii="Arial" w:cs="Arial" w:eastAsia="Arial" w:hAnsi="Arial"/>
          <w:sz w:val="18"/>
          <w:szCs w:val="18"/>
          <w:color w:val="auto"/>
        </w:rPr>
        <w:t>” means an “Event of Default”, “Termination Event” or any equivalent term as such term is used in any First Priority Debt Document or Junior Priority Debt Document, respectively, or any other event constituting a breach of the Issuer or a Guarantor’s contractual obligations under any First Priority Debt Document or Junior Priority Debt Document and the continuation thereof beyond any period of grace applicable thereto.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Intra-Company Lease Agreement</w:t>
      </w:r>
      <w:r>
        <w:rPr>
          <w:rFonts w:ascii="Arial" w:cs="Arial" w:eastAsia="Arial" w:hAnsi="Arial"/>
          <w:sz w:val="17"/>
          <w:szCs w:val="17"/>
          <w:color w:val="auto"/>
        </w:rPr>
        <w:t>” means (i) the Initial Intra-Company Spectrum Lease Agreement and</w:t>
      </w:r>
    </w:p>
    <w:p>
      <w:pPr>
        <w:spacing w:after="0" w:line="35" w:lineRule="exact"/>
        <w:rPr>
          <w:sz w:val="20"/>
          <w:szCs w:val="20"/>
          <w:color w:val="auto"/>
        </w:rPr>
      </w:pPr>
    </w:p>
    <w:p>
      <w:pPr>
        <w:ind w:left="300" w:right="439" w:hanging="8"/>
        <w:spacing w:after="0" w:line="253" w:lineRule="auto"/>
        <w:tabs>
          <w:tab w:leader="none" w:pos="5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intra-company lease agreement between the Issuer or any Secured Guarantor and any special purpose subsidiaries of Parent entered into in connection with a sale and leaseback transaction (including with respect to Spectrum) and identified to the Collateral Trustee as “First Priority Additional Sale/Leaseback Obligations” in a Notice of Designation pursuant to the Intercreditor Agreement.</w:t>
      </w:r>
    </w:p>
    <w:p>
      <w:pPr>
        <w:spacing w:after="0" w:line="85"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w:t>
      </w:r>
    </w:p>
    <w:p>
      <w:pPr>
        <w:spacing w:after="0" w:line="117" w:lineRule="exact"/>
        <w:rPr>
          <w:sz w:val="20"/>
          <w:szCs w:val="20"/>
          <w:color w:val="auto"/>
        </w:rPr>
      </w:pPr>
    </w:p>
    <w:p>
      <w:pPr>
        <w:ind w:left="1000" w:right="939" w:hanging="348"/>
        <w:spacing w:after="0" w:line="342" w:lineRule="auto"/>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with respect to Moody’s, a rating of Baa3 (or its equivalent under any successor rating category of Moody’s) or better (and, for purposes of an Investment Grade Event, stable or better outlook);</w:t>
      </w:r>
    </w:p>
    <w:p>
      <w:pPr>
        <w:spacing w:after="0" w:line="15" w:lineRule="exact"/>
        <w:rPr>
          <w:rFonts w:ascii="Arial" w:cs="Arial" w:eastAsia="Arial" w:hAnsi="Arial"/>
          <w:sz w:val="16"/>
          <w:szCs w:val="16"/>
          <w:color w:val="auto"/>
        </w:rPr>
      </w:pPr>
    </w:p>
    <w:p>
      <w:pPr>
        <w:ind w:left="1000" w:right="57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S&amp;P, a rating of BBB- (or its equivalent under any successor rating category of S&amp;P)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Fitch, a rating of BBB- (or its equivalent under any successor rating category of Fitch) or better (and, for purposes of an Investment Grade Event, stable or better outlook); and</w:t>
      </w:r>
    </w:p>
    <w:p>
      <w:pPr>
        <w:spacing w:after="0" w:line="62"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w:t>
      </w:r>
      <w:r>
        <w:rPr>
          <w:rFonts w:ascii="Arial" w:cs="Arial" w:eastAsia="Arial" w:hAnsi="Arial"/>
          <w:sz w:val="18"/>
          <w:szCs w:val="18"/>
          <w:color w:val="auto"/>
        </w:rPr>
        <w:t>” means:</w:t>
      </w:r>
    </w:p>
    <w:p>
      <w:pPr>
        <w:spacing w:after="0" w:line="117" w:lineRule="exact"/>
        <w:rPr>
          <w:sz w:val="20"/>
          <w:szCs w:val="20"/>
          <w:color w:val="auto"/>
        </w:rPr>
      </w:pPr>
    </w:p>
    <w:p>
      <w:pPr>
        <w:ind w:left="1000" w:right="359" w:hanging="348"/>
        <w:spacing w:after="0" w:line="25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Indenture after giving effect to the proposed release of all of the Note Guarantees and the Collateral securing the Notes;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with respect to such series of notes; and</w:t>
      </w:r>
    </w:p>
    <w:p>
      <w:pPr>
        <w:spacing w:after="0" w:line="128" w:lineRule="exact"/>
        <w:rPr>
          <w:rFonts w:ascii="Arial" w:cs="Arial" w:eastAsia="Arial" w:hAnsi="Arial"/>
          <w:sz w:val="17"/>
          <w:szCs w:val="17"/>
          <w:color w:val="auto"/>
        </w:rPr>
      </w:pPr>
    </w:p>
    <w:p>
      <w:pPr>
        <w:ind w:left="1000" w:right="459" w:hanging="348"/>
        <w:spacing w:after="0" w:line="255"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 guarantees by, or direct obligation of, the Guarantors with respect to the Credit Agreement and the Existing T-Mobile Secured Notes have been released or would be released simultaneously with an Investment Grade Event Election and (ii) Liens securing the Obligations under the Existing T-Mobile Secured Notes and the Obligations under the Credit Agreement (including related secured interest rate agreements) have been released or would be released simultaneously with an Investment Grade Event Election.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 Election</w:t>
      </w:r>
      <w:r>
        <w:rPr>
          <w:rFonts w:ascii="Arial" w:cs="Arial" w:eastAsia="Arial" w:hAnsi="Arial"/>
          <w:sz w:val="18"/>
          <w:szCs w:val="18"/>
          <w:color w:val="auto"/>
        </w:rPr>
        <w:t>” means an election by the Issuer, upon or following the occurrence of an Investment Grade Event, to cause the Note Guarantees and Collateral in respect of the Notes to be released. The Issuer shall give notice of any such election made in accordance with this definition to the Trustee, the Collateral Trustee and the holders of outstanding Notes.</w:t>
      </w:r>
    </w:p>
    <w:p>
      <w:pPr>
        <w:spacing w:after="0" w:line="7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Property</w:t>
      </w:r>
      <w:r>
        <w:rPr>
          <w:rFonts w:ascii="Arial" w:cs="Arial" w:eastAsia="Arial" w:hAnsi="Arial"/>
          <w:sz w:val="17"/>
          <w:szCs w:val="17"/>
          <w:color w:val="auto"/>
        </w:rPr>
        <w:t xml:space="preserve">” means, collectively, (i) all “investment property” as such term is defined in Section 9-102(a)(49) of the New York UCC and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“Investment Property” shall not at any time include Excluded Assets.</w:t>
      </w:r>
    </w:p>
    <w:p>
      <w:pPr>
        <w:spacing w:after="0" w:line="68"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effective date of the Supplemental Indenture pursuant to which the first series of Notes is issued under the Base Indenture (which was April 9, 2020).</w:t>
      </w:r>
    </w:p>
    <w:p>
      <w:pPr>
        <w:spacing w:after="0" w:line="62"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Agent</w:t>
      </w:r>
      <w:r>
        <w:rPr>
          <w:rFonts w:ascii="Arial" w:cs="Arial" w:eastAsia="Arial" w:hAnsi="Arial"/>
          <w:sz w:val="17"/>
          <w:szCs w:val="17"/>
          <w:color w:val="auto"/>
        </w:rPr>
        <w:t>” means the representative acting as the agent, trustee or similar party in respect of Junior Priority Debt constituting at such time the highest principal outstanding amount of Junior Priority Debt.</w:t>
      </w:r>
    </w:p>
    <w:p>
      <w:pPr>
        <w:spacing w:after="0" w:line="3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Class</w:t>
      </w:r>
      <w:r>
        <w:rPr>
          <w:rFonts w:ascii="Arial" w:cs="Arial" w:eastAsia="Arial" w:hAnsi="Arial"/>
          <w:sz w:val="18"/>
          <w:szCs w:val="18"/>
          <w:color w:val="auto"/>
        </w:rPr>
        <w:t>” means, collectively, the Secured Parties which are holders of any of the Junior Priority Secured Obligations.</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Debt</w:t>
      </w:r>
      <w:r>
        <w:rPr>
          <w:rFonts w:ascii="Arial" w:cs="Arial" w:eastAsia="Arial" w:hAnsi="Arial"/>
          <w:sz w:val="18"/>
          <w:szCs w:val="18"/>
          <w:color w:val="auto"/>
        </w:rPr>
        <w:t xml:space="preserve">” means, collectively, any “Junior Priority Debt” designated by the Issuer as “Junior Priority Debt” pursuant to the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Indebtedness is permitted to be incurred and secured on such basis by each First Priority Debt Document and each Junior Priority Debt Document and (ii) the Holder Representative in respect of such Indebtedness shall have become party to the Intercreditor Agreement.</w:t>
      </w:r>
    </w:p>
    <w:p>
      <w:pPr>
        <w:spacing w:after="0" w:line="80"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Debt Document</w:t>
      </w:r>
      <w:r>
        <w:rPr>
          <w:rFonts w:ascii="Arial" w:cs="Arial" w:eastAsia="Arial" w:hAnsi="Arial"/>
          <w:sz w:val="18"/>
          <w:szCs w:val="18"/>
          <w:color w:val="auto"/>
        </w:rPr>
        <w:t>” means any agreements or other documents entered into in connection with any Junior Priority Debt.</w:t>
      </w:r>
    </w:p>
    <w:p>
      <w:pPr>
        <w:spacing w:after="0" w:line="6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Debt Obligations</w:t>
      </w:r>
      <w:r>
        <w:rPr>
          <w:rFonts w:ascii="Arial" w:cs="Arial" w:eastAsia="Arial" w:hAnsi="Arial"/>
          <w:sz w:val="17"/>
          <w:szCs w:val="17"/>
          <w:color w:val="auto"/>
        </w:rPr>
        <w:t>” means, collectively, the unpaid principal of, and interest on, any Junior Priority Debt and all other obligations and liabilities of the Issuer or any Secured Guarantor (including, without limitation, interest accruing at the then applicable rate provided in the Junior Priority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 Junior Priority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any Junior Priority Agent or to the holders of such Junior Priority Debt that are required to be paid by the Issuer or any Secured Guarantors pursuant to the terms of any of foregoing agreements).</w:t>
      </w:r>
    </w:p>
    <w:p>
      <w:pPr>
        <w:spacing w:after="0" w:line="74"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Secured Obligations</w:t>
      </w:r>
      <w:r>
        <w:rPr>
          <w:rFonts w:ascii="Arial" w:cs="Arial" w:eastAsia="Arial" w:hAnsi="Arial"/>
          <w:sz w:val="18"/>
          <w:szCs w:val="18"/>
          <w:color w:val="auto"/>
        </w:rPr>
        <w:t>” means, without duplication, all Junior Priority Debt Obligations and all Permitted Junior Priority Non-Loan Exposure.</w:t>
      </w:r>
    </w:p>
    <w:p>
      <w:pPr>
        <w:spacing w:after="0" w:line="62"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Secured Parties</w:t>
      </w:r>
      <w:r>
        <w:rPr>
          <w:rFonts w:ascii="Arial" w:cs="Arial" w:eastAsia="Arial" w:hAnsi="Arial"/>
          <w:sz w:val="17"/>
          <w:szCs w:val="17"/>
          <w:color w:val="auto"/>
        </w:rPr>
        <w:t>” means, at any time, the Collateral Trustee (in its capacity as the holder of the Lien on the Collateral securing the Junior Priority Secured Obligations), the Junior Priority Agent and any other holder of Junior Priority Secured Obligations outstanding at such time (and including, for the avoidance of doubt, any Holder Representative in respect of such Junior Priority Secured Obligations).</w:t>
      </w:r>
    </w:p>
    <w:p>
      <w:pPr>
        <w:spacing w:after="0" w:line="63"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Security Documents</w:t>
      </w:r>
      <w:r>
        <w:rPr>
          <w:rFonts w:ascii="Arial" w:cs="Arial" w:eastAsia="Arial" w:hAnsi="Arial"/>
          <w:sz w:val="17"/>
          <w:szCs w:val="17"/>
          <w:color w:val="auto"/>
        </w:rPr>
        <w:t>” means all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as applicable, in favor of the Collateral Trustee, for the benefit of any holder of the Junior Priority Secured Obligations, in each case, as amended, modified, renewed, extended, restated or replaced, in whole or in part, from time to time, in accordance with its terms.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in and of itself constitute a Lien.</w:t>
      </w:r>
    </w:p>
    <w:p>
      <w:pPr>
        <w:spacing w:after="0" w:line="79" w:lineRule="exact"/>
        <w:rPr>
          <w:sz w:val="20"/>
          <w:szCs w:val="20"/>
          <w:color w:val="auto"/>
        </w:rPr>
      </w:pPr>
    </w:p>
    <w:p>
      <w:pPr>
        <w:ind w:left="300" w:right="11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Majority First Priority Secured Parties</w:t>
      </w:r>
      <w:r>
        <w:rPr>
          <w:rFonts w:ascii="Arial" w:cs="Arial" w:eastAsia="Arial" w:hAnsi="Arial"/>
          <w:sz w:val="17"/>
          <w:szCs w:val="17"/>
          <w:color w:val="auto"/>
        </w:rPr>
        <w:t>” means, on any date, Eligible First Priority Secured Parties representing more than 50% of the aggregate First Priority Voting Obligations on such date.</w:t>
      </w:r>
    </w:p>
    <w:p>
      <w:pPr>
        <w:spacing w:after="0" w:line="38"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First Priority Secured Obligations</w:t>
      </w:r>
      <w:r>
        <w:rPr>
          <w:rFonts w:ascii="Arial" w:cs="Arial" w:eastAsia="Arial" w:hAnsi="Arial"/>
          <w:sz w:val="18"/>
          <w:szCs w:val="18"/>
          <w:color w:val="auto"/>
        </w:rPr>
        <w:t>” means any series of First Priority Secured Obligations with an outstanding amount in excess of $1,000,000,000.</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Junior Priority Secured Obligations</w:t>
      </w:r>
      <w:r>
        <w:rPr>
          <w:rFonts w:ascii="Arial" w:cs="Arial" w:eastAsia="Arial" w:hAnsi="Arial"/>
          <w:sz w:val="18"/>
          <w:szCs w:val="18"/>
          <w:color w:val="auto"/>
        </w:rPr>
        <w:t>” means any series of Junior Priority Secured Obligations with an outstanding amount in excess of $1,000,000,000.</w:t>
      </w:r>
    </w:p>
    <w:p>
      <w:pPr>
        <w:spacing w:after="0" w:line="62"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at any time designated as an “Unrestricted Subsidiary” (or the equivalent thereof) under the Credit Agreement shall not constitute a “Material Subsidiary” for any purpose hereof.</w:t>
      </w:r>
    </w:p>
    <w:p>
      <w:pPr>
        <w:spacing w:after="0" w:line="53"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Sprint Corporation, a Delaware corporation, with a merger subsidiary of Parent with Sprint Corporation as the surviving Person and following its contribution by Parent to the Issuer, as a Wholly-Owned Subsidiary of the Issuer, pursuant to the Business Combination Agreement.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1099" w:hanging="348"/>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dispositions of assets (other than in the ordinary course of business);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extinguishment of any Indebtedness of such Person or any of its Subsidiaries; and</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1000" w:right="319" w:hanging="348"/>
        <w:spacing w:after="0" w:line="311" w:lineRule="auto"/>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to which neither the Issuer nor any of its Subsidiaries (a) provides credit support of any kind (including any undertaking, agreement or instrument that would constitute Indebtedness), subject to customary “bad-boy” exceptions, (b) is directly or indirectly liable as a guarantor or otherwise, or (c) constitutes the lender;</w:t>
      </w:r>
    </w:p>
    <w:p>
      <w:pPr>
        <w:spacing w:after="0" w:line="40" w:lineRule="exact"/>
        <w:rPr>
          <w:rFonts w:ascii="Arial" w:cs="Arial" w:eastAsia="Arial" w:hAnsi="Arial"/>
          <w:sz w:val="16"/>
          <w:szCs w:val="16"/>
          <w:color w:val="auto"/>
        </w:rPr>
      </w:pPr>
    </w:p>
    <w:p>
      <w:pPr>
        <w:ind w:left="1000" w:right="459" w:hanging="348"/>
        <w:spacing w:after="0" w:line="275"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default with respect to which (including any rights that the holders of the Indebtedness may have to take enforcement action against an “Unrestricted Subsidiary” (or equivalent thereof) under the Credit Agreement) would permit upon notice, lapse of time or both, any holder of any other Indebtedness of the Issuer or any of its Subsidiaries to declare a default on such other Indebtedness or cause the payment of the Indebtedness to be accelerated or payable prior to its stated maturity.</w:t>
      </w:r>
    </w:p>
    <w:p>
      <w:pPr>
        <w:spacing w:after="0" w:line="68"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Non-Recourse Debt incurred by a Permitted Receivables Financing Subsidiary, Permitted Spectrum</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Subsidiary or Permitted Tower Financing Subsidiary may have recourse to the Issuer and its Subsidiaries pursuant to Standard Securitization Undertakings.</w:t>
      </w:r>
    </w:p>
    <w:p>
      <w:pPr>
        <w:spacing w:after="0" w:line="76"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with respect to the Notes of any series, the Guarantee by each Guarantor of obligations of the Issuer with respect to the Notes of such series under the Indenture and under the Notes of such series.</w:t>
      </w:r>
    </w:p>
    <w:p>
      <w:pPr>
        <w:spacing w:after="0" w:line="76"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 Parties</w:t>
      </w:r>
      <w:r>
        <w:rPr>
          <w:rFonts w:ascii="Arial" w:cs="Arial" w:eastAsia="Arial" w:hAnsi="Arial"/>
          <w:sz w:val="17"/>
          <w:szCs w:val="17"/>
          <w:color w:val="auto"/>
        </w:rPr>
        <w:t xml:space="preserve">” means, collectively, the Issuer and the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term is used in connection with an obligation to deliver Collateral, it shall not include any Unsecured Guarantor.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9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 Documents</w:t>
      </w:r>
      <w:r>
        <w:rPr>
          <w:rFonts w:ascii="Arial" w:cs="Arial" w:eastAsia="Arial" w:hAnsi="Arial"/>
          <w:sz w:val="16"/>
          <w:szCs w:val="16"/>
          <w:color w:val="auto"/>
        </w:rPr>
        <w:t>” means the Indenture, the Notes, the Note Guarantees, the Security Documents, the Intercreditor Agreement and any other agreements or documents entered into in connection with the Notes.</w:t>
      </w:r>
    </w:p>
    <w:p>
      <w:pPr>
        <w:spacing w:after="0" w:line="1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Acceleration</w:t>
      </w:r>
      <w:r>
        <w:rPr>
          <w:rFonts w:ascii="Arial" w:cs="Arial" w:eastAsia="Arial" w:hAnsi="Arial"/>
          <w:sz w:val="16"/>
          <w:szCs w:val="16"/>
          <w:color w:val="auto"/>
        </w:rPr>
        <w:t>” means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Acceleration Event has occurred and is continuing in respect of the relevant Secured Obligations.</w:t>
      </w:r>
    </w:p>
    <w:p>
      <w:pPr>
        <w:spacing w:after="0" w:line="5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Designation</w:t>
      </w:r>
      <w:r>
        <w:rPr>
          <w:rFonts w:ascii="Arial" w:cs="Arial" w:eastAsia="Arial" w:hAnsi="Arial"/>
          <w:sz w:val="18"/>
          <w:szCs w:val="18"/>
          <w:color w:val="auto"/>
        </w:rPr>
        <w:t>” means a notice substantially in the form attached to the Intercreditor Agreement, pursuant to which the Issuer designates additional obligations as subject to the terms of the Intercreditor Agreement in accordance with the terms thereof.</w:t>
      </w:r>
    </w:p>
    <w:p>
      <w:pPr>
        <w:spacing w:after="0" w:line="76"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Event of Default</w:t>
      </w:r>
      <w:r>
        <w:rPr>
          <w:rFonts w:ascii="Arial" w:cs="Arial" w:eastAsia="Arial" w:hAnsi="Arial"/>
          <w:sz w:val="18"/>
          <w:szCs w:val="18"/>
          <w:color w:val="auto"/>
        </w:rPr>
        <w:t>” means (a)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Intercreditor Agreement Event of Default has occurred and is continuing under the relevant Secured Obligations and/or (b) a Notice of Acceleration.</w:t>
      </w:r>
    </w:p>
    <w:p>
      <w:pPr>
        <w:spacing w:after="0" w:line="87"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Indebtedness (including, without limitation, interest, fees or expenses which accrue after the commencement of any bankruptcy case or proceeding, whether or not allowed or allowable as a claim in any such case or proceeding).</w:t>
      </w:r>
    </w:p>
    <w:p>
      <w:pPr>
        <w:spacing w:after="0" w:line="49"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Outstanding T-Mobile Secured Notes</w:t>
      </w:r>
      <w:r>
        <w:rPr>
          <w:rFonts w:ascii="Arial" w:cs="Arial" w:eastAsia="Arial" w:hAnsi="Arial"/>
          <w:sz w:val="17"/>
          <w:szCs w:val="17"/>
          <w:color w:val="auto"/>
        </w:rPr>
        <w:t>” means the U.S. dollar-denominated senior secured notes issued by the Issuer on April 9, 2020, June 24, 2020, October 6, 2020 and October 28, 2020, as amended, restated, modified, renewed, refunded, replaced (whether upon or after termination or otherwise) or refinanced (including, in each case, by means of sales of debt securities) in whole or in part from time to time.</w:t>
      </w:r>
    </w:p>
    <w:p>
      <w:pPr>
        <w:spacing w:after="0" w:line="63"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Outstanding T-Mobile Unsecured Notes</w:t>
      </w:r>
      <w:r>
        <w:rPr>
          <w:rFonts w:ascii="Arial" w:cs="Arial" w:eastAsia="Arial" w:hAnsi="Arial"/>
          <w:sz w:val="16"/>
          <w:szCs w:val="16"/>
          <w:color w:val="auto"/>
        </w:rPr>
        <w:t>” means (i) the 6.000% Senior Notes due 2023 issued pursuant to the Indenture, dated as of April 28, 2013, among the Issuer, the guarantors party thereto and Deutsche Bank Trust Company Americas, as trustee (the “</w:t>
      </w:r>
      <w:r>
        <w:rPr>
          <w:rFonts w:ascii="Arial" w:cs="Arial" w:eastAsia="Arial" w:hAnsi="Arial"/>
          <w:sz w:val="16"/>
          <w:szCs w:val="16"/>
          <w:i w:val="1"/>
          <w:iCs w:val="1"/>
          <w:color w:val="auto"/>
        </w:rPr>
        <w:t>April 2013 Base Indenture</w:t>
      </w:r>
      <w:r>
        <w:rPr>
          <w:rFonts w:ascii="Arial" w:cs="Arial" w:eastAsia="Arial" w:hAnsi="Arial"/>
          <w:sz w:val="16"/>
          <w:szCs w:val="16"/>
          <w:color w:val="auto"/>
        </w:rPr>
        <w:t>”), as supplemented by that certain Seventeenth Supplemental Indenture dated as of September 5, 2014, among T-Mobile USA, Inc., the guarantors named therein and Deutsche Bank Trust Company Americas, as trustee, (ii) the 6.000% Senior Notes due 2024 issued pursuant to the April 2013 Base Indenture, as supplemented by that certain Twenty-First Supplemental Indenture dated as of April 1, 2016, among T-Mobile USA, Inc., the guarantors named therein and Deutsche Bank Trust Company Americas, as trustee, (iii) the 4.000% Senior Notes due 2022 issued pursuant to the April 2013 Base Indenture, as supplemented by that certain Twenty-Third Supplemental Indenture dated as of March 16, 2017, among T-Mobile USA, Inc., the guarantors named therein and Deutsche Bank Trust Company Americas, as trustee, (iv) the 5.125% Senior Notes due 2025 issued pursuant to the April 2013 Base Indenture, as supplemented by that certain Twenty-Fourth Supplemental Indenture dated as of March 16, 2017, among TMobile USA, Inc., the guarantors named therein and Deutsche Bank Trust Company Americas, as trustee, (v) the 5.375% Senior Notes due 2027 issued pursuant to the April 2013 Base Indenture, as supplemented by that certain Twenty-Fifth Supplemental Indenture dated as of March 16, 2017, among T-Mobile USA, Inc., the guarantors named therein and Deutsche Bank Trust Company Americas, as trustee, (vi) the 4.000% Senior Notes due 2022-1 issued pursuant to the April 2013 Base Indenture, as supplemented by that certain Twenty-Sixth Supplemental Indenture dated as of April 27, 2017, among T-Mobile USA, Inc., the guarantors named therein and Deutsche Bank Trust Company Americas, as trustee, (vii) the 5.375% Senior Notes due 2027-1 issued pursuant to the April 2013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Merger), (viii) the 4.500% Senior Notes due 2026 issued pursuant to the April 2013 Base Indenture, as supplemented by that certain Thirty-Second Supplemental Indenture, dated as of January 25, 2018, among T-Mobile USA, Inc., the guarantors named therein and Deutsche Bank Trust Company Americas, as trustee, (ix) the 4.750% Senior Notes due 2028 issued pursuant to the April 2013 Base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91" w:lineRule="auto"/>
        <w:rPr>
          <w:sz w:val="20"/>
          <w:szCs w:val="20"/>
          <w:color w:val="auto"/>
        </w:rPr>
      </w:pPr>
      <w:r>
        <w:rPr>
          <w:rFonts w:ascii="Arial" w:cs="Arial" w:eastAsia="Arial" w:hAnsi="Arial"/>
          <w:sz w:val="16"/>
          <w:szCs w:val="16"/>
          <w:color w:val="auto"/>
        </w:rPr>
        <w:t>Indenture, as supplemented by that certain Thirty-Third Supplemental Indenture dated as of January 25, 2018, among T-Mobile USA, Inc., the guarantors named therein and Deutsche Bank Trust Company Americas, as trustee,</w:t>
      </w:r>
    </w:p>
    <w:p>
      <w:pPr>
        <w:ind w:left="300" w:right="379" w:hanging="8"/>
        <w:spacing w:after="0" w:line="281" w:lineRule="auto"/>
        <w:tabs>
          <w:tab w:leader="none" w:pos="5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4.500% Senior Notes due 2026-1 issued pursuant to the April 2013 Base Indenture, as supplemented by that certain Thirty-Fifth Supplemental Indenture, dated as of April 30, 2018, among T-Mobile USA, Inc., the guarantors named therein and Deutsche Bank Trust Company Americas, as trustee, (xi)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(xii) the 2.250 % Senior Notes due 2026 issued pursuant to the April 2013 Base Indenture, as supplemented by that certain Forty-Third Supplemental Indenture dated as of January 14, 2021,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339" w:hanging="8"/>
        <w:spacing w:after="0" w:line="281"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2.625 % Senior Notes due 2029 issued pursuant to the April 2013 Base Indenture, as supplemented by that certain Forty-Third Supplemental Indenture dated as of January 14, 2021, among T-Mobile USA, Inc., the guarantors named therein and Deutsche Bank Trust Company Americas, as trustee, (xiv) the 2.875 % Senior Notes due 2031 issued pursuant to the April 2013 Base Indenture, as supplemented by that certain Forty-Third Supplemental Indenture dated as of January 14, 2021, among T-Mobile USA, Inc., the guarantors named therein and Deutsche Bank Trust Company Americas, as trustee, (xv) the 2.625% Senior Notes due 2026 issued pursuant to the Base Indenture, as supplemented by that certain Forty-Sixth Supplemental Indenture, dated as of March 23, 2021,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479" w:hanging="8"/>
        <w:spacing w:after="0" w:line="252"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3.375% Senior Notes due 2029 issued pursuant to the Base Indenture, as supplemented by that certain Forty-Seventh Supplemental Indenture, dated as of March 23, 2021, among T-Mobile USA, Inc., the guarantors named therein and Deutsche Bank Trust Company Americas, as trustee and (xvii)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spacing w:after="0" w:line="86" w:lineRule="exact"/>
        <w:rPr>
          <w:sz w:val="20"/>
          <w:szCs w:val="20"/>
          <w:color w:val="auto"/>
        </w:rPr>
      </w:pPr>
    </w:p>
    <w:p>
      <w:pPr>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paid and performed in full</w:t>
      </w:r>
      <w:r>
        <w:rPr>
          <w:rFonts w:ascii="Arial" w:cs="Arial" w:eastAsia="Arial" w:hAnsi="Arial"/>
          <w:sz w:val="16"/>
          <w:szCs w:val="16"/>
          <w:color w:val="auto"/>
        </w:rPr>
        <w:t>” or “</w:t>
      </w:r>
      <w:r>
        <w:rPr>
          <w:rFonts w:ascii="Arial" w:cs="Arial" w:eastAsia="Arial" w:hAnsi="Arial"/>
          <w:sz w:val="16"/>
          <w:szCs w:val="16"/>
          <w:i w:val="1"/>
          <w:iCs w:val="1"/>
          <w:color w:val="auto"/>
        </w:rPr>
        <w:t>payment and performance in full</w:t>
      </w:r>
      <w:r>
        <w:rPr>
          <w:rFonts w:ascii="Arial" w:cs="Arial" w:eastAsia="Arial" w:hAnsi="Arial"/>
          <w:sz w:val="16"/>
          <w:szCs w:val="16"/>
          <w:color w:val="auto"/>
        </w:rPr>
        <w:t>” or “</w:t>
      </w:r>
      <w:r>
        <w:rPr>
          <w:rFonts w:ascii="Arial" w:cs="Arial" w:eastAsia="Arial" w:hAnsi="Arial"/>
          <w:sz w:val="16"/>
          <w:szCs w:val="16"/>
          <w:i w:val="1"/>
          <w:iCs w:val="1"/>
          <w:color w:val="auto"/>
        </w:rPr>
        <w:t>pay such amounts and perform in full</w:t>
      </w:r>
      <w:r>
        <w:rPr>
          <w:rFonts w:ascii="Arial" w:cs="Arial" w:eastAsia="Arial" w:hAnsi="Arial"/>
          <w:sz w:val="16"/>
          <w:szCs w:val="16"/>
          <w:color w:val="auto"/>
        </w:rPr>
        <w:t>” means, as of any date, with respect to any Secured Obligations, that on or before such date: (i) the principal of and interest (including Post-Petition Interest) accrued to such date on each loan or other form of indebtedness shall have been paid in full in cash, (ii) all fees, expenses and other amounts then due and payable which constitute such Secured Obligations (other than Secured Non-Loan Exposure and contingent amounts, in each case, for which no claim or demand has been made) shall have been paid in full in cash, (iii) the commitments thereunder shall have expired or been terminated, (iv) any contingent letter of credit exposure shall have been secured by (x) the grant of a first priority, perfected Lien on cash or cash equivalents in an amount at least equal to the amount required under the applicable Secured Instrument or other collateral which is reasonably acceptable to the applicable issuing bank or (y) the issuance of a “back–to–back” letter of credit in form and substance reasonably acceptable to the applicable issuing bank with an original face amount at least equal to the amount that would be required pursuant to clause</w:t>
      </w:r>
    </w:p>
    <w:p>
      <w:pPr>
        <w:spacing w:after="0" w:line="4" w:lineRule="exact"/>
        <w:rPr>
          <w:sz w:val="20"/>
          <w:szCs w:val="20"/>
          <w:color w:val="auto"/>
        </w:rPr>
      </w:pPr>
    </w:p>
    <w:p>
      <w:pPr>
        <w:ind w:left="300" w:right="339" w:hanging="8"/>
        <w:spacing w:after="0" w:line="290" w:lineRule="auto"/>
        <w:tabs>
          <w:tab w:leader="none" w:pos="5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above, (v) in respect of the First Priority Initial Spectrum Obligations and any First Priority Additional Sale/Leaseback Obligations, all obligations of the Issuer and the Secured Guarantors shall have terminated in accordance with the terms thereof and all amounts due and owing in connection with such termination shall have been paid in full in cash, (vi) the payment in full in cash of any other amounts due and owing in compliance with the applicable Secured Instrument documentation and (vii) in respect of any other contractual obligations not referenced in the foregoing clauses (i) through (vi), the performance and satisfaction of such obligations in full.</w:t>
      </w:r>
    </w:p>
    <w:p>
      <w:pPr>
        <w:spacing w:after="0" w:line="56"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Agreement</w:t>
      </w:r>
      <w:r>
        <w:rPr>
          <w:rFonts w:ascii="Arial" w:cs="Arial" w:eastAsia="Arial" w:hAnsi="Arial"/>
          <w:sz w:val="16"/>
          <w:szCs w:val="16"/>
          <w:color w:val="auto"/>
        </w:rPr>
        <w:t xml:space="preserve">” means (i) the Initial Spectrum Performance Agreement and (ii) any similar or like performance and undertaking agreement entered into by the Issuer or the Secured Guarantors in connection with a sale and leaseback transaction (including with respect to Spectrum) and identified to the Collateral Trustee as “First Priority Additional Sale/Leaseback Obligations” in a Notice of Designation pursuant to the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such obligations are permitted to be incurred and secured on such basis by each First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Debt Document and each Junior Priority Debt Document and (ii) the Holder Representative in respect of such obligations shall have become party to the Intercreditor Agreement.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w:t>
      </w:r>
    </w:p>
    <w:p>
      <w:pPr>
        <w:spacing w:after="0" w:line="117" w:lineRule="exact"/>
        <w:rPr>
          <w:sz w:val="20"/>
          <w:szCs w:val="20"/>
          <w:color w:val="auto"/>
        </w:rPr>
      </w:pPr>
    </w:p>
    <w:p>
      <w:pPr>
        <w:jc w:val="center"/>
        <w:ind w:left="4360" w:right="1319" w:hanging="3708"/>
        <w:spacing w:after="0" w:line="527" w:lineRule="auto"/>
        <w:tabs>
          <w:tab w:leader="none" w:pos="9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Investment by the Issuer or any Subsidiary of the Issuer in a Person, if as a result of such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19"/>
        <w:spacing w:after="0" w:line="286" w:lineRule="auto"/>
        <w:rPr>
          <w:sz w:val="20"/>
          <w:szCs w:val="20"/>
          <w:color w:val="auto"/>
        </w:rPr>
      </w:pPr>
      <w:r>
        <w:rPr>
          <w:rFonts w:ascii="Arial" w:cs="Arial" w:eastAsia="Arial" w:hAnsi="Arial"/>
          <w:sz w:val="17"/>
          <w:szCs w:val="17"/>
          <w:color w:val="auto"/>
        </w:rPr>
        <w:t>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p>
      <w:pPr>
        <w:spacing w:after="0" w:line="5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acquisitions of spectrum licenses.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any business, service or other activity in which the Issuer and its Subsidiaries or any direct or indirect parent of the Issuer were engaged on the date of the consummation of the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spacing w:after="0" w:line="53"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First Priority Non-Loan Exposure</w:t>
      </w:r>
      <w:r>
        <w:rPr>
          <w:rFonts w:ascii="Arial" w:cs="Arial" w:eastAsia="Arial" w:hAnsi="Arial"/>
          <w:sz w:val="16"/>
          <w:szCs w:val="16"/>
          <w:color w:val="auto"/>
        </w:rPr>
        <w:t xml:space="preserve">” means Designated Hedging Obligations, Designated Cash Management Obligations, Designated L/C Facility Obligations and any other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First Priority Non-Loan Exposure” pursuant to the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spacing w:after="0" w:line="57"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w:t>
      </w:r>
      <w:r>
        <w:rPr>
          <w:rFonts w:ascii="Arial" w:cs="Arial" w:eastAsia="Arial" w:hAnsi="Arial"/>
          <w:sz w:val="18"/>
          <w:szCs w:val="18"/>
          <w:color w:val="auto"/>
        </w:rPr>
        <w:t>” means (i) Deutsche Telekom and (ii) any direct or indirect Subsidiary of Deutsche Telekom.</w:t>
      </w:r>
    </w:p>
    <w:p>
      <w:pPr>
        <w:spacing w:after="0" w:line="62"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any specified Person, Investments in any other Person engaged in a Permitted Business of which at least 40% of the outstanding Capital Stock of such other Person is at the time owned directly or indirectly by the specified Person.</w:t>
      </w:r>
    </w:p>
    <w:p>
      <w:pPr>
        <w:spacing w:after="0" w:line="7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Junior Priority Non-Loan Exposure</w:t>
      </w:r>
      <w:r>
        <w:rPr>
          <w:rFonts w:ascii="Arial" w:cs="Arial" w:eastAsia="Arial" w:hAnsi="Arial"/>
          <w:sz w:val="17"/>
          <w:szCs w:val="17"/>
          <w:color w:val="auto"/>
        </w:rPr>
        <w:t xml:space="preserve">” means Designated Hedging Obligations, Designated Cash Management Obligations,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Junior Priority Non-Loan Exposure”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86" w:lineRule="auto"/>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Liens to secure any Credit Facility (including, without duplication, any Liens in respect of any Credit Facility incurred to renew, refund, refinance, replace, defease or discharge as a whole, or in part, any Credit Facility secured by any Lien under this clause (1)) in an aggregate principal amount not to exceed at any one time outstanding, the sum of (A) $8.0 billion, plus (B)(i) the greater of (x) $22.0 billion and (y)</w:t>
      </w:r>
    </w:p>
    <w:p>
      <w:pPr>
        <w:spacing w:after="0" w:line="1" w:lineRule="exact"/>
        <w:rPr>
          <w:rFonts w:ascii="Arial" w:cs="Arial" w:eastAsia="Arial" w:hAnsi="Arial"/>
          <w:sz w:val="16"/>
          <w:szCs w:val="16"/>
          <w:color w:val="auto"/>
        </w:rPr>
      </w:pPr>
    </w:p>
    <w:p>
      <w:pPr>
        <w:ind w:left="1000" w:right="559"/>
        <w:spacing w:after="0" w:line="281" w:lineRule="auto"/>
        <w:rPr>
          <w:rFonts w:ascii="Arial" w:cs="Arial" w:eastAsia="Arial" w:hAnsi="Arial"/>
          <w:sz w:val="16"/>
          <w:szCs w:val="16"/>
          <w:color w:val="auto"/>
        </w:rPr>
      </w:pPr>
      <w:r>
        <w:rPr>
          <w:rFonts w:ascii="Arial" w:cs="Arial" w:eastAsia="Arial" w:hAnsi="Arial"/>
          <w:sz w:val="16"/>
          <w:szCs w:val="16"/>
          <w:color w:val="auto"/>
        </w:rPr>
        <w:t>1.00x Consolidated Cash Flow, plus (ii) an unlimited amount, so long as on a Pro Forma Basis (and calculated (x) as if any incremental revolving facility were fully drawn on the effective date thereof and</w:t>
      </w:r>
    </w:p>
    <w:p>
      <w:pPr>
        <w:spacing w:after="0" w:line="1" w:lineRule="exact"/>
        <w:rPr>
          <w:rFonts w:ascii="Arial" w:cs="Arial" w:eastAsia="Arial" w:hAnsi="Arial"/>
          <w:sz w:val="16"/>
          <w:szCs w:val="16"/>
          <w:color w:val="auto"/>
        </w:rPr>
      </w:pPr>
    </w:p>
    <w:p>
      <w:pPr>
        <w:ind w:left="1000" w:right="339"/>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(y) excluding any cash constituting proceeds of any Credit Facility), with respect to any Credit Facility that constitutes First Priority Secured Obligations, the Total First Lien Net Leverage Ratio does not exceed 2.00 to 1.00 (or, if incurred in connection with a Permitted Acquisition or other Investment, the Total First Lien Net Leverage Ratio would not exceed the Total First Lien Net Leverage Ratio immediately prior to such Permitted Acquisition or other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Credit Facilities will be deemed to be incurred under the foregoing clause (ii) before clause (i), and to the extent amounts are incurred concurrently under the foregoing clauses (i) and (ii), the applicable ratio may exceed the applicable ratio level set forth in clause (ii) to the extent of such amounts incurred in reliance under clause (i);</w:t>
      </w:r>
    </w:p>
    <w:p>
      <w:pPr>
        <w:spacing w:after="0" w:line="61" w:lineRule="exact"/>
        <w:rPr>
          <w:rFonts w:ascii="Arial" w:cs="Arial" w:eastAsia="Arial" w:hAnsi="Arial"/>
          <w:sz w:val="16"/>
          <w:szCs w:val="16"/>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 favor of the Issuer or the Guarantors;</w:t>
      </w:r>
    </w:p>
    <w:p>
      <w:pPr>
        <w:spacing w:after="0" w:line="117" w:lineRule="exact"/>
        <w:rPr>
          <w:rFonts w:ascii="Arial" w:cs="Arial" w:eastAsia="Arial" w:hAnsi="Arial"/>
          <w:sz w:val="18"/>
          <w:szCs w:val="18"/>
          <w:color w:val="auto"/>
        </w:rPr>
      </w:pPr>
    </w:p>
    <w:p>
      <w:pPr>
        <w:jc w:val="both"/>
        <w:ind w:left="1000" w:right="639" w:hanging="348"/>
        <w:spacing w:after="0" w:line="342" w:lineRule="auto"/>
        <w:tabs>
          <w:tab w:leader="none" w:pos="10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becomes a Subsidiary of the Issuer or is merged with or into or consolidated with the Issuer or any Subsidiary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59" w:lineRule="auto"/>
        <w:rPr>
          <w:sz w:val="20"/>
          <w:szCs w:val="20"/>
          <w:color w:val="auto"/>
        </w:rPr>
      </w:pPr>
      <w:r>
        <w:rPr>
          <w:rFonts w:ascii="Arial" w:cs="Arial" w:eastAsia="Arial" w:hAnsi="Arial"/>
          <w:sz w:val="18"/>
          <w:szCs w:val="18"/>
          <w:color w:val="auto"/>
        </w:rPr>
        <w:t>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p>
      <w:pPr>
        <w:spacing w:after="0" w:line="79" w:lineRule="exact"/>
        <w:rPr>
          <w:sz w:val="20"/>
          <w:szCs w:val="20"/>
          <w:color w:val="auto"/>
        </w:rPr>
      </w:pPr>
    </w:p>
    <w:p>
      <w:pPr>
        <w:ind w:left="1000" w:right="41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and not incurred in contemplation of, such acquisition;</w:t>
      </w:r>
    </w:p>
    <w:p>
      <w:pPr>
        <w:spacing w:after="0" w:line="75" w:lineRule="exact"/>
        <w:rPr>
          <w:rFonts w:ascii="Arial" w:cs="Arial" w:eastAsia="Arial" w:hAnsi="Arial"/>
          <w:sz w:val="18"/>
          <w:szCs w:val="18"/>
          <w:color w:val="auto"/>
        </w:rPr>
      </w:pPr>
    </w:p>
    <w:p>
      <w:pPr>
        <w:ind w:left="1000" w:right="679" w:hanging="348"/>
        <w:spacing w:after="0" w:line="275" w:lineRule="auto"/>
        <w:tabs>
          <w:tab w:leader="none" w:pos="10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(x) bankers’ Liens, rights of setoff or similar rights and remedies as to deposit accounts or other funds maintained with a depositary institution, and (y)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p>
      <w:pPr>
        <w:spacing w:after="0" w:line="68" w:lineRule="exact"/>
        <w:rPr>
          <w:rFonts w:ascii="Arial" w:cs="Arial" w:eastAsia="Arial" w:hAnsi="Arial"/>
          <w:sz w:val="17"/>
          <w:szCs w:val="17"/>
          <w:color w:val="auto"/>
        </w:rPr>
      </w:pPr>
    </w:p>
    <w:p>
      <w:pPr>
        <w:ind w:left="1000" w:right="339" w:hanging="348"/>
        <w:spacing w:after="0" w:line="269" w:lineRule="auto"/>
        <w:tabs>
          <w:tab w:leader="none" w:pos="10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Liens to secure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Liens securing Indebtedness permitted to be incurred pursuant to this clause (6) extend only to the assets purchased with the proceeds of such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individual financings of equipment provided by one lender may be cross collateralized to other financings of equipment provided by such lender;</w:t>
      </w:r>
    </w:p>
    <w:p>
      <w:pPr>
        <w:spacing w:after="0" w:line="73" w:lineRule="exact"/>
        <w:rPr>
          <w:rFonts w:ascii="Arial" w:cs="Arial" w:eastAsia="Arial" w:hAnsi="Arial"/>
          <w:sz w:val="17"/>
          <w:szCs w:val="17"/>
          <w:color w:val="auto"/>
        </w:rPr>
      </w:pPr>
    </w:p>
    <w:p>
      <w:pPr>
        <w:ind w:left="1000" w:right="339" w:hanging="348"/>
        <w:spacing w:after="0" w:line="296"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existing on (w) with respect to the 2025 Notes, the 2027 Notes, the 2030 Notes, the 2040 Notes and the 2050 Notes: the date of the consummation of the Merger, (x) with respect to the 2026 Notes, the 2028 Notes and the February 2031 Notes: June 24, 2020, (y) with respect to the 2041 Notes and the 2051 Notes: October 6, 2020 and (z) with respect to the November 2031 Notes and the 2060 Notes: October 28, 2020 (in each case, other than Liens permitted by clause (1) above and clause (12) below);</w:t>
      </w:r>
    </w:p>
    <w:p>
      <w:pPr>
        <w:spacing w:after="0" w:line="53" w:lineRule="exact"/>
        <w:rPr>
          <w:rFonts w:ascii="Arial" w:cs="Arial" w:eastAsia="Arial" w:hAnsi="Arial"/>
          <w:sz w:val="16"/>
          <w:szCs w:val="16"/>
          <w:color w:val="auto"/>
        </w:rPr>
      </w:pPr>
    </w:p>
    <w:p>
      <w:pPr>
        <w:ind w:left="1000" w:right="31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imposed by law or contract, such as carriers’, warehousemen’s, suppliers’, vendors’, construction, repairmen’s, landlord’s and mechanics’ Liens or other similar Liens, in each case, incurred in the ordinary course of business;</w:t>
      </w:r>
    </w:p>
    <w:p>
      <w:pPr>
        <w:spacing w:after="0" w:line="75" w:lineRule="exact"/>
        <w:rPr>
          <w:rFonts w:ascii="Arial" w:cs="Arial" w:eastAsia="Arial" w:hAnsi="Arial"/>
          <w:sz w:val="18"/>
          <w:szCs w:val="18"/>
          <w:color w:val="auto"/>
        </w:rPr>
      </w:pPr>
    </w:p>
    <w:p>
      <w:pPr>
        <w:ind w:left="1000" w:right="479" w:hanging="348"/>
        <w:spacing w:after="0" w:line="290"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Indebtedness, or Liens incidental to the conduct of business of such Person or to the ownership of its properties that were not incurred in connection with Indebtedness and that do not in the aggregate materially adversely affect the value of said properties or materially impair their use in the operation of the business of such Person;</w:t>
      </w:r>
    </w:p>
    <w:p>
      <w:pPr>
        <w:spacing w:after="0" w:line="57" w:lineRule="exact"/>
        <w:rPr>
          <w:rFonts w:ascii="Arial" w:cs="Arial" w:eastAsia="Arial" w:hAnsi="Arial"/>
          <w:sz w:val="16"/>
          <w:szCs w:val="16"/>
          <w:color w:val="auto"/>
        </w:rPr>
      </w:pPr>
    </w:p>
    <w:p>
      <w:pPr>
        <w:ind w:left="1000" w:right="659" w:hanging="348"/>
        <w:spacing w:after="0" w:line="311"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p>
      <w:pPr>
        <w:spacing w:after="0" w:line="40" w:lineRule="exact"/>
        <w:rPr>
          <w:rFonts w:ascii="Arial" w:cs="Arial" w:eastAsia="Arial" w:hAnsi="Arial"/>
          <w:sz w:val="16"/>
          <w:szCs w:val="16"/>
          <w:color w:val="auto"/>
        </w:rPr>
      </w:pPr>
    </w:p>
    <w:p>
      <w:pPr>
        <w:ind w:left="1000" w:right="45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created for the benefit of (or to secure) First Lien Obligations in an aggregate principal amount not to exceed $19.0 billion at any time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11"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to secure any renewal, refunding, refinancing, replacement, defeasance or discharge (or successive refinancing, refunding, restatement, exchange, extensions, renewals or replacements) as a whole, or in part, of any Indebtedness secured by any Lien included in this definition of “Permitted Liens”:</w:t>
      </w:r>
    </w:p>
    <w:p>
      <w:pPr>
        <w:spacing w:after="0" w:line="40" w:lineRule="exact"/>
        <w:rPr>
          <w:rFonts w:ascii="Arial" w:cs="Arial" w:eastAsia="Arial" w:hAnsi="Arial"/>
          <w:sz w:val="16"/>
          <w:szCs w:val="16"/>
          <w:color w:val="auto"/>
        </w:rPr>
      </w:pPr>
    </w:p>
    <w:p>
      <w:pPr>
        <w:ind w:left="1360" w:right="479" w:hanging="348"/>
        <w:spacing w:after="0" w:line="279" w:lineRule="auto"/>
        <w:tabs>
          <w:tab w:leader="none" w:pos="13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hanging="348"/>
        <w:spacing w:after="0"/>
        <w:tabs>
          <w:tab w:leader="none" w:pos="13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w:t>
      </w:r>
    </w:p>
    <w:p>
      <w:pPr>
        <w:spacing w:after="0" w:line="46" w:lineRule="exact"/>
        <w:rPr>
          <w:rFonts w:ascii="Arial" w:cs="Arial" w:eastAsia="Arial" w:hAnsi="Arial"/>
          <w:sz w:val="16"/>
          <w:szCs w:val="16"/>
          <w:color w:val="auto"/>
        </w:rPr>
      </w:pPr>
    </w:p>
    <w:p>
      <w:pPr>
        <w:ind w:left="1360" w:right="439" w:firstLine="3"/>
        <w:spacing w:after="0" w:line="273" w:lineRule="auto"/>
        <w:tabs>
          <w:tab w:leader="none" w:pos="1615" w:val="left"/>
        </w:tabs>
        <w:numPr>
          <w:ilvl w:val="2"/>
          <w:numId w:val="103"/>
        </w:numPr>
        <w:rPr>
          <w:rFonts w:ascii="Arial" w:cs="Arial" w:eastAsia="Arial" w:hAnsi="Arial"/>
          <w:sz w:val="17"/>
          <w:szCs w:val="17"/>
          <w:color w:val="auto"/>
        </w:rPr>
      </w:pPr>
      <w:r>
        <w:rPr>
          <w:rFonts w:ascii="Arial" w:cs="Arial" w:eastAsia="Arial" w:hAnsi="Arial"/>
          <w:sz w:val="17"/>
          <w:szCs w:val="17"/>
          <w:color w:val="auto"/>
        </w:rPr>
        <w:t>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68" w:lineRule="exact"/>
        <w:rPr>
          <w:rFonts w:ascii="Arial" w:cs="Arial" w:eastAsia="Arial" w:hAnsi="Arial"/>
          <w:sz w:val="17"/>
          <w:szCs w:val="17"/>
          <w:color w:val="auto"/>
        </w:rPr>
      </w:pPr>
    </w:p>
    <w:p>
      <w:pPr>
        <w:ind w:left="1000" w:right="459" w:hanging="348"/>
        <w:spacing w:after="0" w:line="291"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Liens contained in purchase and sale agreements or lease agreements limiting the transfer of assets pending the closing of the transactions contemplated thereby or the termination of the lease, respectively,</w:t>
      </w:r>
    </w:p>
    <w:p>
      <w:pPr>
        <w:ind w:left="1000" w:right="339" w:firstLine="3"/>
        <w:spacing w:after="0" w:line="255" w:lineRule="auto"/>
        <w:tabs>
          <w:tab w:leader="none" w:pos="12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spectrum leases or other similar lease or licensing arrangements contained in, or entered into in connection with, purchase and sale agreements, and (c) Liens relating to deposits or escrows established in connection with purchase and sale agreements;</w:t>
      </w:r>
    </w:p>
    <w:p>
      <w:pPr>
        <w:spacing w:after="0" w:line="81"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Liens that may be deemed to exist by virtue of contractual provisions that restrict the ability of the Issuer or any of its Subsidiaries from granting or permitting to exist Liens on their respective assets;</w:t>
      </w:r>
    </w:p>
    <w:p>
      <w:pPr>
        <w:spacing w:after="0" w:line="38"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(x) in favor of the Trustee as provided for in the Indenture on money or property held or collected by the Trustee in its capacity as trustee and (y) on Cash Equivalents securing obligations under any Indebtedness of the Issuer or any Subsidiary of the Issuer that has been called for redemption, defeasance or discharge;</w:t>
      </w:r>
    </w:p>
    <w:p>
      <w:pPr>
        <w:spacing w:after="0" w:line="78" w:lineRule="exact"/>
        <w:rPr>
          <w:rFonts w:ascii="Arial" w:cs="Arial" w:eastAsia="Arial" w:hAnsi="Arial"/>
          <w:sz w:val="18"/>
          <w:szCs w:val="18"/>
          <w:color w:val="auto"/>
        </w:rPr>
      </w:pPr>
    </w:p>
    <w:p>
      <w:pPr>
        <w:ind w:left="1000" w:right="379" w:hanging="348"/>
        <w:spacing w:after="0" w:line="271"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Liens on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Guarantees or letters of credit functioning as or supporting any of the foregoing, in each case incurred in the ordinary course of business or (b) letters of credit required to be issued for the benefit of any Person that controls a Permitted Joint Venture Investment to secure any put right for the benefit of the Person controlling the Permitted Joint Venture Investment;</w:t>
      </w:r>
    </w:p>
    <w:p>
      <w:pPr>
        <w:spacing w:after="0" w:line="70" w:lineRule="exact"/>
        <w:rPr>
          <w:rFonts w:ascii="Arial" w:cs="Arial" w:eastAsia="Arial" w:hAnsi="Arial"/>
          <w:sz w:val="17"/>
          <w:szCs w:val="17"/>
          <w:color w:val="auto"/>
        </w:rPr>
      </w:pPr>
    </w:p>
    <w:p>
      <w:pPr>
        <w:ind w:left="1000" w:right="339" w:hanging="348"/>
        <w:spacing w:after="0" w:line="255"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(or similar filings in any other jurisdiction) regarding operating leases or consignments or sales of receivables entered into in the 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p>
      <w:pPr>
        <w:spacing w:after="0" w:line="84"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sublicensor in the property subject to any lease, license or sublicense entered into in the ordinary course of business;</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on Cash Equivalents on deposit to secure reimbursement obligations under letters of credit incurred in the ordinary course of business;</w:t>
      </w:r>
    </w:p>
    <w:p>
      <w:pPr>
        <w:spacing w:after="0" w:line="62" w:lineRule="exact"/>
        <w:rPr>
          <w:rFonts w:ascii="Arial" w:cs="Arial" w:eastAsia="Arial" w:hAnsi="Arial"/>
          <w:sz w:val="18"/>
          <w:szCs w:val="18"/>
          <w:color w:val="auto"/>
        </w:rPr>
      </w:pPr>
    </w:p>
    <w:p>
      <w:pPr>
        <w:ind w:left="1000" w:right="679" w:hanging="348"/>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on and pledges of the Equity Interests of any Person that is an unrestricted subsidiary under any Credit Facility or any joint venture owned by the Issuer or any Subsidiary of the Issuer to the extent securing Non-Recourse Debt or other Indebtedness of such Person;</w:t>
      </w:r>
    </w:p>
    <w:p>
      <w:pPr>
        <w:spacing w:after="0" w:line="75" w:lineRule="exact"/>
        <w:rPr>
          <w:rFonts w:ascii="Arial" w:cs="Arial" w:eastAsia="Arial" w:hAnsi="Arial"/>
          <w:sz w:val="18"/>
          <w:szCs w:val="18"/>
          <w:color w:val="auto"/>
        </w:rPr>
      </w:pPr>
    </w:p>
    <w:p>
      <w:pPr>
        <w:ind w:left="1000" w:right="419" w:hanging="348"/>
        <w:spacing w:after="0" w:line="311" w:lineRule="auto"/>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contracts for sale and other agreements arising in the ordinary course of business that are customary in the Permitted Business, and applicable only to the assets that are the subject of such agreements or contracts;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38" w:lineRule="exact"/>
        <w:rPr>
          <w:rFonts w:ascii="Arial" w:cs="Arial" w:eastAsia="Arial" w:hAnsi="Arial"/>
          <w:sz w:val="17"/>
          <w:szCs w:val="17"/>
          <w:color w:val="auto"/>
        </w:rPr>
      </w:pPr>
    </w:p>
    <w:p>
      <w:pPr>
        <w:ind w:left="1000" w:right="31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Liens securing any arrangement for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provided to Parent or any of its Subsidiaries;</w:t>
      </w:r>
    </w:p>
    <w:p>
      <w:pPr>
        <w:spacing w:after="0" w:line="63"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at any time the greater of (x) $3,750.0 million and (y) 17.00% of Consolidated Cash Flow determined on a Pro Forma Basis for the most recently ended Test Period;</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if any, incurred in connection with the Towers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459" w:hanging="348"/>
        <w:spacing w:after="0" w:line="259"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the operating lease payments owed to SpectrumCo1 or in respect of any other secured spectrum leases to which the Issuer or any of its Subsidiaries are a party, and any related payment and performance undertaking,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Notes;</w:t>
      </w:r>
    </w:p>
    <w:p>
      <w:pPr>
        <w:spacing w:after="0" w:line="78"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leases, licenses, subleases and sublicenses of, and the granting of an easement interest in and to, assets (including real property and intellectual property rights and other general intangibles) in the ordinary course of business;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pledges and deposits in the ordinary course of business to secure liability to insurance carriers, insurance companies and brokers;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on equipment of the Issuer or any Subsidiary of the Issuer granted in the ordinary course of business to the Issuer’s or such Subsidiary’s client at which such equipment is located;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on receivables and related assets including proceeds thereof being sold in factoring arrangements in the ordinary course of business;</w:t>
      </w:r>
    </w:p>
    <w:p>
      <w:pPr>
        <w:spacing w:after="0" w:line="62"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customary options, put and call arrangements, rights of first refusal and similar rights relating to Investments in joint ventures, partnerships and similar investment vehicles;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arising out of or deemed to exist in connection with any financing transaction with respect to property owned, built or acquired by the Issuer or any Subsidiary of the Issuer;</w:t>
      </w:r>
    </w:p>
    <w:p>
      <w:pPr>
        <w:spacing w:after="0" w:line="62" w:lineRule="exact"/>
        <w:rPr>
          <w:rFonts w:ascii="Arial" w:cs="Arial" w:eastAsia="Arial" w:hAnsi="Arial"/>
          <w:sz w:val="18"/>
          <w:szCs w:val="18"/>
          <w:color w:val="auto"/>
        </w:rPr>
      </w:pPr>
    </w:p>
    <w:p>
      <w:pPr>
        <w:ind w:left="1000" w:right="759" w:hanging="348"/>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Liens securing obligations in respect of the Designated L/C Facilities, which may be secured by cash collateral and/or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59"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on the cash proceeds (and the related escrow account, and any money market funds or securities in which such cash proceeds are invested during the applicable escrow period) of any issuance of Indebtedness in connection with the cash proceeds of such Indebtedness being placed into (and pending the release from) escrow;</w:t>
      </w:r>
    </w:p>
    <w:p>
      <w:pPr>
        <w:spacing w:after="0" w:line="78" w:lineRule="exact"/>
        <w:rPr>
          <w:rFonts w:ascii="Arial" w:cs="Arial" w:eastAsia="Arial" w:hAnsi="Arial"/>
          <w:sz w:val="18"/>
          <w:szCs w:val="18"/>
          <w:color w:val="auto"/>
        </w:rPr>
      </w:pPr>
    </w:p>
    <w:p>
      <w:pPr>
        <w:ind w:left="1000" w:right="113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on the Collateral securing Obligations on a junior basis relative to the Notes and the Note Guarantees; and</w:t>
      </w:r>
    </w:p>
    <w:p>
      <w:pPr>
        <w:spacing w:after="0" w:line="62" w:lineRule="exact"/>
        <w:rPr>
          <w:rFonts w:ascii="Arial" w:cs="Arial" w:eastAsia="Arial" w:hAnsi="Arial"/>
          <w:sz w:val="18"/>
          <w:szCs w:val="18"/>
          <w:color w:val="auto"/>
        </w:rPr>
      </w:pPr>
    </w:p>
    <w:p>
      <w:pPr>
        <w:ind w:left="1000" w:right="459" w:hanging="348"/>
        <w:spacing w:after="0" w:line="275"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Deutsche Telekom, Sprint Corporation, SoftBank Group Corp., and DISH Network Corporation, as it may be further amended or modified.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Post-Release Liens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Permitted Liens, other than those Permitted Liens incurred pursuant to clause (1) and (46) of the definition thereof;</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15% of Consolidated Net Tangible Assets determined on a Pro Forma Basis for the most recently ended Test Period; and</w:t>
      </w:r>
    </w:p>
    <w:p>
      <w:pPr>
        <w:spacing w:after="0" w:line="62"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Liens to secure any modification, refinancing, refunding, restatement, exchange, extension, renewal or replacement (or successive refinancing, refunding, restatement, exchange, extensions, renewals or replacements) as a whole, or in part, of any Indebtedness secured by any Lien included or incorporated by reference in this definition of “Permitted Post-Release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70" w:lineRule="exact"/>
        <w:rPr>
          <w:rFonts w:ascii="Arial" w:cs="Arial" w:eastAsia="Arial" w:hAnsi="Arial"/>
          <w:sz w:val="17"/>
          <w:szCs w:val="17"/>
          <w:color w:val="auto"/>
        </w:rPr>
      </w:pPr>
    </w:p>
    <w:p>
      <w:pPr>
        <w:ind w:left="1360" w:right="479" w:hanging="348"/>
        <w:spacing w:after="0" w:line="279" w:lineRule="auto"/>
        <w:tabs>
          <w:tab w:leader="none" w:pos="13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hanging="348"/>
        <w:spacing w:after="0"/>
        <w:tabs>
          <w:tab w:leader="none" w:pos="13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w:t>
      </w:r>
    </w:p>
    <w:p>
      <w:pPr>
        <w:spacing w:after="0" w:line="46" w:lineRule="exact"/>
        <w:rPr>
          <w:rFonts w:ascii="Arial" w:cs="Arial" w:eastAsia="Arial" w:hAnsi="Arial"/>
          <w:sz w:val="16"/>
          <w:szCs w:val="16"/>
          <w:color w:val="auto"/>
        </w:rPr>
      </w:pPr>
    </w:p>
    <w:p>
      <w:pPr>
        <w:ind w:left="1360" w:right="439"/>
        <w:spacing w:after="0" w:line="273" w:lineRule="auto"/>
        <w:rPr>
          <w:rFonts w:ascii="Arial" w:cs="Arial" w:eastAsia="Arial" w:hAnsi="Arial"/>
          <w:sz w:val="16"/>
          <w:szCs w:val="16"/>
          <w:color w:val="auto"/>
        </w:rPr>
      </w:pPr>
      <w:r>
        <w:rPr>
          <w:rFonts w:ascii="Arial" w:cs="Arial" w:eastAsia="Arial" w:hAnsi="Arial"/>
          <w:sz w:val="17"/>
          <w:szCs w:val="17"/>
          <w:color w:val="auto"/>
        </w:rPr>
        <w:t>(x) 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68" w:lineRule="exact"/>
        <w:rPr>
          <w:sz w:val="20"/>
          <w:szCs w:val="20"/>
          <w:color w:val="auto"/>
        </w:rPr>
      </w:pPr>
    </w:p>
    <w:p>
      <w:pPr>
        <w:ind w:left="300" w:right="57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means any Receivables Financing of a Permitted Receivables Financing Subsidiary the terms of which (including financing terms, covenants, termination events and other provisions)</w:t>
      </w:r>
    </w:p>
    <w:p>
      <w:pPr>
        <w:ind w:left="300" w:right="899" w:hanging="8"/>
        <w:spacing w:after="0" w:line="255" w:lineRule="auto"/>
        <w:tabs>
          <w:tab w:leader="none" w:pos="5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spacing w:after="0" w:line="82"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 Assets</w:t>
      </w:r>
      <w:r>
        <w:rPr>
          <w:rFonts w:ascii="Arial" w:cs="Arial" w:eastAsia="Arial" w:hAnsi="Arial"/>
          <w:sz w:val="18"/>
          <w:szCs w:val="18"/>
          <w:color w:val="auto"/>
        </w:rPr>
        <w:t>” means financial assets, including accounts receivable, chattel paper and other payment rights, and related assets (including contract rights and insurance payments), and the proceeds thereof.</w:t>
      </w:r>
    </w:p>
    <w:p>
      <w:pPr>
        <w:spacing w:after="0" w:line="7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 Subsidiary</w:t>
      </w:r>
      <w:r>
        <w:rPr>
          <w:rFonts w:ascii="Arial" w:cs="Arial" w:eastAsia="Arial" w:hAnsi="Arial"/>
          <w:sz w:val="16"/>
          <w:szCs w:val="16"/>
          <w:color w:val="auto"/>
        </w:rPr>
        <w:t>”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an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 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Spectrum Financing</w:t>
      </w:r>
      <w:r>
        <w:rPr>
          <w:rFonts w:ascii="Arial" w:cs="Arial" w:eastAsia="Arial" w:hAnsi="Arial"/>
          <w:sz w:val="18"/>
          <w:szCs w:val="18"/>
          <w:color w:val="auto"/>
        </w:rPr>
        <w:t>” means the Existing Sprint Spectrum Transaction.</w:t>
      </w:r>
    </w:p>
    <w:p>
      <w:pPr>
        <w:spacing w:after="0" w:line="117" w:lineRule="exact"/>
        <w:rPr>
          <w:sz w:val="20"/>
          <w:szCs w:val="20"/>
          <w:color w:val="auto"/>
        </w:rPr>
      </w:pPr>
    </w:p>
    <w:p>
      <w:pPr>
        <w:jc w:val="both"/>
        <w:ind w:left="300" w:right="37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Spectrum Financing Subsidiary</w:t>
      </w:r>
      <w:r>
        <w:rPr>
          <w:rFonts w:ascii="Arial" w:cs="Arial" w:eastAsia="Arial" w:hAnsi="Arial"/>
          <w:sz w:val="16"/>
          <w:szCs w:val="16"/>
          <w:color w:val="auto"/>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w:t>
      </w:r>
      <w:r>
        <w:rPr>
          <w:rFonts w:ascii="Arial" w:cs="Arial" w:eastAsia="Arial" w:hAnsi="Arial"/>
          <w:sz w:val="18"/>
          <w:szCs w:val="18"/>
          <w:color w:val="auto"/>
        </w:rPr>
        <w:t>” means the Towers Transactions.</w:t>
      </w:r>
    </w:p>
    <w:p>
      <w:pPr>
        <w:spacing w:after="0" w:line="117"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 Subsidiary</w:t>
      </w:r>
      <w:r>
        <w:rPr>
          <w:rFonts w:ascii="Arial" w:cs="Arial" w:eastAsia="Arial" w:hAnsi="Arial"/>
          <w:sz w:val="18"/>
          <w:szCs w:val="18"/>
          <w:color w:val="auto"/>
        </w:rPr>
        <w:t>” means any financing subsidiary formed in connection with a Permitted Tower Financing.</w:t>
      </w:r>
    </w:p>
    <w:p>
      <w:pPr>
        <w:spacing w:after="0" w:line="62"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62" w:lineRule="exact"/>
        <w:rPr>
          <w:sz w:val="20"/>
          <w:szCs w:val="20"/>
          <w:color w:val="auto"/>
        </w:rPr>
      </w:pPr>
    </w:p>
    <w:p>
      <w:pPr>
        <w:ind w:left="300" w:right="53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Phoenix Towers Transaction Agreements</w:t>
      </w:r>
      <w:r>
        <w:rPr>
          <w:rFonts w:ascii="Arial" w:cs="Arial" w:eastAsia="Arial" w:hAnsi="Arial"/>
          <w:sz w:val="18"/>
          <w:szCs w:val="18"/>
          <w:color w:val="auto"/>
        </w:rPr>
        <w:t>” means (i) the Purchase and Sale Agreement, dated as of July 30, 2015 (as the same may be amended, modified, or supplemented from time to time), among the Issuer, certain Subsidiaries of the Issuer, PTI US Acquisitions, LLC, and each sale site subsidiary party thereto; (ii) the Purchase and Sale Agreement (PR Sale Sites), dated as of October 28, 2015 (as the same may be amended, 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spacing w:after="0" w:line="84"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Pledged Capital Stock</w:t>
      </w:r>
      <w:r>
        <w:rPr>
          <w:rFonts w:ascii="Arial" w:cs="Arial" w:eastAsia="Arial" w:hAnsi="Arial"/>
          <w:sz w:val="16"/>
          <w:szCs w:val="16"/>
          <w:color w:val="auto"/>
        </w:rPr>
        <w:t xml:space="preserve">” means all shares or other equity interests constituting Capital Stock now owned or hereafter acquired by (i) Parent or any Parent Only Subsidiary in the Issuer or (ii) the Issuer and any other Secured Guarantor in any Subsidiary of the Issuer or such Grantor (as defined in the Collateral Agreement), as applicable, and the certificates, if any, representing such Capital Stock and any interest of the Issuer or such Secured Guarantor in the entries on the books of the issuer of such Capital Stock and all dividends, distributions, cash, warrants, rights, options, instruments, securities and other property or proceeds from time to time received, receivable or otherwise distributed in respect of or in exchange for any or all of such Capital Stock and any other warrant, right or option to acquire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Pledged Capital Stock shall not include any Excluded Asset.</w:t>
      </w:r>
    </w:p>
    <w:p>
      <w:pPr>
        <w:spacing w:after="0" w:line="5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Debt Securities</w:t>
      </w:r>
      <w:r>
        <w:rPr>
          <w:rFonts w:ascii="Arial" w:cs="Arial" w:eastAsia="Arial" w:hAnsi="Arial"/>
          <w:sz w:val="18"/>
          <w:szCs w:val="18"/>
          <w:color w:val="auto"/>
        </w:rPr>
        <w:t xml:space="preserve">” means all debt securities now owned or hereafter acquired by the Issuer or any Secured Guarantor (other than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Pledged Debt Securities shall not include any Excluded Asset.</w:t>
      </w:r>
    </w:p>
    <w:p>
      <w:pPr>
        <w:spacing w:after="0" w:line="76"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Notes</w:t>
      </w:r>
      <w:r>
        <w:rPr>
          <w:rFonts w:ascii="Arial" w:cs="Arial" w:eastAsia="Arial" w:hAnsi="Arial"/>
          <w:sz w:val="18"/>
          <w:szCs w:val="18"/>
          <w:color w:val="auto"/>
        </w:rPr>
        <w:t xml:space="preserve">” means all promissory notes and other evidences of Indebtedness that constitute Instruments (as defined in the UCC) now owned or hereafter acquired by the Issuer or any Secured Guarantor (other than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Pledged Notes shall not include any Excluded Asset.</w:t>
      </w:r>
    </w:p>
    <w:p>
      <w:pPr>
        <w:spacing w:after="0" w:line="76"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Post-Petition Interest</w:t>
      </w:r>
      <w:r>
        <w:rPr>
          <w:rFonts w:ascii="Arial" w:cs="Arial" w:eastAsia="Arial" w:hAnsi="Arial"/>
          <w:sz w:val="18"/>
          <w:szCs w:val="18"/>
          <w:color w:val="auto"/>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spacing w:after="0" w:line="79"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Capital Stock of such Person that has preferential rights to any other Capital Stock of such Person with respect to dividends or payments upon liquidation.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spacing w:after="0" w:line="70"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xml:space="preserve">” means, with respect to compliance with any test or covenant or calculation of any ratio hereunder, the determination or calculation of such test, covenant or ratio (including in connection with Pro Forma Transactions) in accordance with the provisions of the second paragraph and third paragraph of the definition of “Secured Debt to Cash Flow Ratio,”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9"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Transactions</w:t>
      </w:r>
      <w:r>
        <w:rPr>
          <w:rFonts w:ascii="Arial" w:cs="Arial" w:eastAsia="Arial" w:hAnsi="Arial"/>
          <w:sz w:val="16"/>
          <w:szCs w:val="16"/>
          <w:color w:val="auto"/>
        </w:rPr>
        <w:t>” means, (x) the Transactions, (y) any incurrence or repayment of Indebtedness (other than working capital or Indebtedness incurred in the ordinary course of business), any Investment that results in a Person becoming a Subsidiary of the Issuer, any Permitted Acquisition or disposition that results in a Subsidiary ceasing to be a Subsidiary or any Investment constituting an acquisition of assets constituting a business unit, line of business or division of another Person or any disposition of a business unit, line of business or division of the Issuer or any Subsidiary of the Issuer, in each case whether by merger, consolidation, amalgamation or otherwise and in each case under this clause (y) with a Fair Market Value in excess of $25,000,000 and (z) any restructuring or cost saving, operational change or business rationalization initiative or other initiative.</w:t>
      </w:r>
    </w:p>
    <w:p>
      <w:pPr>
        <w:spacing w:after="0" w:line="57"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Q1 Notes Issuances</w:t>
      </w:r>
      <w:r>
        <w:rPr>
          <w:rFonts w:ascii="Arial" w:cs="Arial" w:eastAsia="Arial" w:hAnsi="Arial"/>
          <w:sz w:val="16"/>
          <w:szCs w:val="16"/>
          <w:color w:val="auto"/>
        </w:rPr>
        <w:t>” means, collectively, (i) the Issuer’s issuance on January 14, 2021 of (a) $1.00 billion in aggregate principal amount of its 2.250% Senior Notes due 2026, (b) $1.00 billion in aggregate principal amount of its 2.625% Senior Notes due 2029 and (c) $1.00 billion in aggregate principal amount of its 2.875% Senior Notes due 2031 and (ii) the Issuer’s issuance on March 23, 2021 of (a) $1.20 billion in aggregate principal amount of its</w:t>
      </w:r>
    </w:p>
    <w:p>
      <w:pPr>
        <w:spacing w:after="0" w:line="1" w:lineRule="exact"/>
        <w:rPr>
          <w:sz w:val="20"/>
          <w:szCs w:val="20"/>
          <w:color w:val="auto"/>
        </w:rPr>
      </w:pPr>
    </w:p>
    <w:p>
      <w:pPr>
        <w:ind w:left="300" w:right="319"/>
        <w:spacing w:after="0" w:line="260" w:lineRule="auto"/>
        <w:rPr>
          <w:sz w:val="20"/>
          <w:szCs w:val="20"/>
          <w:color w:val="auto"/>
        </w:rPr>
      </w:pPr>
      <w:r>
        <w:rPr>
          <w:rFonts w:ascii="Arial" w:cs="Arial" w:eastAsia="Arial" w:hAnsi="Arial"/>
          <w:sz w:val="18"/>
          <w:szCs w:val="18"/>
          <w:color w:val="auto"/>
        </w:rPr>
        <w:t>2.625% Senior Notes due 2026, (b) $1.25 billion in aggregate principal amount of its 3.375% Senior Notes due 2029 and (c) $1.35 billion in aggregate principal amount of its 3.500% Senior Notes due 2031.</w:t>
      </w:r>
    </w:p>
    <w:p>
      <w:pPr>
        <w:spacing w:after="0" w:line="7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Q1 Redemption</w:t>
      </w:r>
      <w:r>
        <w:rPr>
          <w:rFonts w:ascii="Arial" w:cs="Arial" w:eastAsia="Arial" w:hAnsi="Arial"/>
          <w:sz w:val="18"/>
          <w:szCs w:val="18"/>
          <w:color w:val="auto"/>
        </w:rPr>
        <w:t>” means the redemption in full on March 27, 2021 of the outstanding $2.0 billion in aggregate principal amount of the Issuer’s 6.500% Senior Notes due 2026.</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Capital Stock.</w:t>
      </w:r>
    </w:p>
    <w:p>
      <w:pPr>
        <w:spacing w:after="0" w:line="62"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spacing w:after="0" w:line="79"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Event</w:t>
      </w:r>
      <w:r>
        <w:rPr>
          <w:rFonts w:ascii="Arial" w:cs="Arial" w:eastAsia="Arial" w:hAnsi="Arial"/>
          <w:sz w:val="17"/>
          <w:szCs w:val="17"/>
          <w:color w:val="auto"/>
        </w:rPr>
        <w:t xml:space="preserve">” with respect to any series of Notes means the Notes of such series cease to be rated Investment Grade by at least two Rating Agencies on any day during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period shall be extended for so long as the rating of the Notes of the applicable series, as noted by the applicable Rating Agency, is under publicly announced consideration for downgrade by the applicable Rating Agency.</w:t>
      </w:r>
    </w:p>
    <w:p>
      <w:pPr>
        <w:spacing w:after="0" w:line="6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w:t>
      </w:r>
      <w:r>
        <w:rPr>
          <w:rFonts w:ascii="Arial" w:cs="Arial" w:eastAsia="Arial" w:hAnsi="Arial"/>
          <w:sz w:val="17"/>
          <w:szCs w:val="17"/>
          <w:color w:val="auto"/>
        </w:rPr>
        <w:t xml:space="preserve"> or </w:t>
      </w:r>
      <w:r>
        <w:rPr>
          <w:rFonts w:ascii="Arial" w:cs="Arial" w:eastAsia="Arial" w:hAnsi="Arial"/>
          <w:sz w:val="17"/>
          <w:szCs w:val="17"/>
          <w:i w:val="1"/>
          <w:iCs w:val="1"/>
          <w:color w:val="auto"/>
        </w:rPr>
        <w:t>“Refinance</w:t>
      </w:r>
      <w:r>
        <w:rPr>
          <w:rFonts w:ascii="Arial" w:cs="Arial" w:eastAsia="Arial" w:hAnsi="Arial"/>
          <w:sz w:val="17"/>
          <w:szCs w:val="17"/>
          <w:color w:val="auto"/>
        </w:rPr>
        <w:t>” shall mean, with respect to any Indebtedness, any other Indebtedness issued as part of a refinancing, extension, renewal, defeasance, discharge, amendment, restatement, modification, supplement, substitution, restructuring, replacement, exchange, refunding or repayment thereof.</w:t>
      </w:r>
    </w:p>
    <w:p>
      <w:pPr>
        <w:spacing w:after="0" w:line="57" w:lineRule="exact"/>
        <w:rPr>
          <w:sz w:val="20"/>
          <w:szCs w:val="20"/>
          <w:color w:val="auto"/>
        </w:rPr>
      </w:pPr>
    </w:p>
    <w:p>
      <w:pPr>
        <w:ind w:left="300" w:right="29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means (w) with respect to the 2025 Notes, the 2027 Notes, the 2030 Notes, the 2040 Notes and the 2050 Notes, the Registration Rights Agreement, dated as of April 9, 2020, among the Issuer, Parent, the Subsidiary Guarantors, Deutsche Bank Securities Inc., Barclays Capital Inc. and Goldman Sachs &amp; Co. LLC, for themselves and as representatives of the initial purchasers, as such agreement may be amended, modified or supplemented from time to time, (x) with respect to the 2026 Notes, the 2028 Notes and the February 2031 Notes, the Registration Rights Agreement, dated as of June 24, 2020, among the Issuer, Parent, the Subsidiary Guarantors, Credit Suisse Securities (USA) LLC, Deutsche Bank Securities Inc. and Wells Fargo Securities, LLC, for themselves and as representatives of the initial purchasers, as such agreement may be amended, modified or supplemented from time to time, (y) with respect to the 2041 Notes and the 2051 Notes, means the Registration Rights Agreement, dated as of October 6, 2020, among the Issuer, Parent, the Subsidiary Guarantors, Barclays Capital Inc., J.P. Morgan Securities LLC, Morgan Stanley &amp; Co. LLC and RBC Capital Markets, LLC, for themselves and as representatives of the initial purchasers, as such agreement may be amended, modified or supplemented from time to time and (z) with respect to the November 2031 Notes and the 2060 Notes, the Registration Rights Agreement, dated as of October 28, 2020, among the Issuer, Parent, the Subsidiary Guarantors, Citigroup Global Markets Inc., Credit Suisse Securities (USA) LLC, Deutsche Bank Securities Inc. and Goldman Sachs &amp; Co. LLC, for themselves and as representatives of the initial purchasers, as such agreement may be amended, modified or supplemented from time to time.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Reinsurance Entity</w:t>
      </w:r>
      <w:r>
        <w:rPr>
          <w:rFonts w:ascii="Arial" w:cs="Arial" w:eastAsia="Arial" w:hAnsi="Arial"/>
          <w:sz w:val="16"/>
          <w:szCs w:val="16"/>
          <w:color w:val="auto"/>
        </w:rPr>
        <w:t>” means TMUS Assurance Corporation, a Hawaii corporation, and any successor thereto.</w:t>
      </w:r>
    </w:p>
    <w:p>
      <w:pPr>
        <w:spacing w:after="0" w:line="14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means, (i) when used with respect to the Trustee or the Collateral Trustee, any officer within the Corporate Trust Office of the Trustee or officer appointed by the Collateral Trustee (or, in each case, any successor group thereto) or any other officer of the Trustee or the Collateral Trustee (or, in each case, any successor group thereto)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this Indenture and (ii) 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spacing w:after="0" w:line="74"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3-16 Capital Stock</w:t>
      </w:r>
      <w:r>
        <w:rPr>
          <w:rFonts w:ascii="Arial" w:cs="Arial" w:eastAsia="Arial" w:hAnsi="Arial"/>
          <w:sz w:val="16"/>
          <w:szCs w:val="16"/>
          <w:color w:val="auto"/>
        </w:rPr>
        <w:t xml:space="preserve">” means any Equity Interests of any Subsidiary, in the event that Rule 3-16 or 13-02 of Regulation S-X require or are amended, modified or interpreted by the SEC to require (or is replaced with another rule or regulation, or any other law, rule or regulation is adopted, which would require) the filing with the SEC (or any other governmental agency) of separate financial statements or summarized financial information of any such Subsidiary individually or on a combined basis due to the fact that such Subsidiary’s Equity Interests secure any registered debt securities or related note guarantees (including the Notes and the Note Guarantees);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automatically be deemed (in accordance with the terms of the applicable Security Document) not to be part of the Collateral securing such notes and note guarantees (including the Notes and the Note Guarantees) only to the extent necessary to not be subject to such requirement.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Financial Services LLC, a subsidiary of S&amp;P Global Inc., and its successors.</w:t>
      </w:r>
    </w:p>
    <w:p>
      <w:pPr>
        <w:spacing w:after="0" w:line="140"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Secured Debt to Cash Flow Ratio</w:t>
      </w:r>
      <w:r>
        <w:rPr>
          <w:rFonts w:ascii="Arial" w:cs="Arial" w:eastAsia="Arial" w:hAnsi="Arial"/>
          <w:sz w:val="17"/>
          <w:szCs w:val="17"/>
          <w:color w:val="auto"/>
        </w:rPr>
        <w:t>” means, with respect to any Person as of any date of determination, the ratio of (a) the Consolidated Indebtedness of such Person as of such date that is secured by a Lien, less Cash Equivalents, to (b) the Consolidated Cash Flow of such Person for the four most recent full fiscal quarters ending immediately prior to such date for which internal financial statements are available.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117" w:lineRule="exact"/>
        <w:rPr>
          <w:sz w:val="20"/>
          <w:szCs w:val="20"/>
          <w:color w:val="auto"/>
        </w:rPr>
      </w:pPr>
    </w:p>
    <w:p>
      <w:pPr>
        <w:ind w:left="1000" w:right="339" w:hanging="348"/>
        <w:spacing w:after="0" w:line="308"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pro forma effect shall be given to Pro Forma Transactions (including giving pro forma effect to any related financing transactions and the application of proceeds of any Pro Forma Transactions)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63" w:lineRule="auto"/>
        <w:rPr>
          <w:sz w:val="20"/>
          <w:szCs w:val="20"/>
          <w:color w:val="auto"/>
        </w:rPr>
      </w:pPr>
      <w:r>
        <w:rPr>
          <w:rFonts w:ascii="Arial" w:cs="Arial" w:eastAsia="Arial" w:hAnsi="Arial"/>
          <w:sz w:val="18"/>
          <w:szCs w:val="18"/>
          <w:color w:val="auto"/>
        </w:rPr>
        <w:t>occur during such four-quarter period or subsequent to such four-quarter period but on or prior to the date on which the Secured Debt to Cash Flow Ratio is to be calculated as if they had occurred and such proceeds had been applied on the first day of such four-quarter period;</w:t>
      </w:r>
    </w:p>
    <w:p>
      <w:pPr>
        <w:spacing w:after="0" w:line="76" w:lineRule="exact"/>
        <w:rPr>
          <w:sz w:val="20"/>
          <w:szCs w:val="20"/>
          <w:color w:val="auto"/>
        </w:rPr>
      </w:pPr>
    </w:p>
    <w:p>
      <w:pPr>
        <w:ind w:left="1000" w:right="339" w:hanging="348"/>
        <w:spacing w:after="0" w:line="254"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such four-quarter period or subsequent to such four-quarter period but on or prior to the date on which the Secured Debt to Cash Flow Ratio is to be calculated and that would have constituted a Pro Forma Transaction had such transactions occurred when such Person was a Subsidiary of the Issuer, as if such transaction was a Pro Forma Transaction that occurred on the first day of such four-quarter period;</w:t>
      </w:r>
    </w:p>
    <w:p>
      <w:pPr>
        <w:spacing w:after="0" w:line="83" w:lineRule="exact"/>
        <w:rPr>
          <w:rFonts w:ascii="Arial" w:cs="Arial" w:eastAsia="Arial" w:hAnsi="Arial"/>
          <w:sz w:val="18"/>
          <w:szCs w:val="18"/>
          <w:color w:val="auto"/>
        </w:rPr>
      </w:pPr>
    </w:p>
    <w:p>
      <w:pPr>
        <w:ind w:left="1000" w:right="399" w:hanging="348"/>
        <w:spacing w:after="0" w:line="273"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p>
      <w:pPr>
        <w:spacing w:after="0" w:line="69" w:lineRule="exact"/>
        <w:rPr>
          <w:rFonts w:ascii="Arial" w:cs="Arial" w:eastAsia="Arial" w:hAnsi="Arial"/>
          <w:sz w:val="17"/>
          <w:szCs w:val="17"/>
          <w:color w:val="auto"/>
        </w:rPr>
      </w:pPr>
    </w:p>
    <w:p>
      <w:pPr>
        <w:ind w:left="1000" w:right="379" w:hanging="348"/>
        <w:spacing w:after="0" w:line="279"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and operations or businesses disposed of (without duplication of clauses (1) and (2) above), which disposition or discontinuation, as applicable, has been completed prior to the date on which the Secured Debt to Cash Flow Ratio is to be calculated, shall be excluded;</w:t>
      </w:r>
    </w:p>
    <w:p>
      <w:pPr>
        <w:spacing w:after="0" w:line="63" w:lineRule="exact"/>
        <w:rPr>
          <w:rFonts w:ascii="Arial" w:cs="Arial" w:eastAsia="Arial" w:hAnsi="Arial"/>
          <w:sz w:val="17"/>
          <w:szCs w:val="17"/>
          <w:color w:val="auto"/>
        </w:rPr>
      </w:pPr>
    </w:p>
    <w:p>
      <w:pPr>
        <w:ind w:left="1000" w:right="43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Person that is a Subsidiary of the Issuer on the date on which the Secured Debt to Cash Flow Ratio is to be calculated will be deemed to have been a Subsidiary of the Issuer at all times during such four-quarter period;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Person that is not a Subsidiary of the Issuer on the date on which the Secured Debt to Cash Flow Ratio is to be calculated will be deemed not to have been a Subsidiary of the Issuer at any time during such four-quarter period.</w:t>
      </w:r>
    </w:p>
    <w:p>
      <w:pPr>
        <w:spacing w:after="0" w:line="76"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For the avoidance of doubt, if the Secured Debt to Cash Flow Ratio is determined for any period commencing prior to the date that is four fiscal quarters after the fiscal quarter during which the consummation of the Merger occurs, the Secured Debt to Cash Flow Ratio shall be calculated giving pro forma effect to the Transactions as if the Transactions had occurred on the first day of the four quarter reference period.</w:t>
      </w:r>
    </w:p>
    <w:p>
      <w:pPr>
        <w:spacing w:after="0" w:line="63"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Guarantor</w:t>
      </w:r>
      <w:r>
        <w:rPr>
          <w:rFonts w:ascii="Arial" w:cs="Arial" w:eastAsia="Arial" w:hAnsi="Arial"/>
          <w:sz w:val="18"/>
          <w:szCs w:val="18"/>
          <w:color w:val="auto"/>
        </w:rPr>
        <w:t>” means each Guarantor, including Parent and each Parent Only Subsidiary, other than an Unsecured Guarantor.</w:t>
      </w:r>
    </w:p>
    <w:p>
      <w:pPr>
        <w:spacing w:after="0" w:line="62" w:lineRule="exact"/>
        <w:rPr>
          <w:sz w:val="20"/>
          <w:szCs w:val="20"/>
          <w:color w:val="auto"/>
        </w:rPr>
      </w:pPr>
    </w:p>
    <w:p>
      <w:pPr>
        <w:ind w:left="300" w:right="3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Secured Instruments</w:t>
      </w:r>
      <w:r>
        <w:rPr>
          <w:rFonts w:ascii="Arial" w:cs="Arial" w:eastAsia="Arial" w:hAnsi="Arial"/>
          <w:sz w:val="16"/>
          <w:szCs w:val="16"/>
          <w:color w:val="auto"/>
        </w:rPr>
        <w:t>” means at any time (i) the First Priority Debt Documents, (ii) the Junior Priority Debt Documents and (iii) any agreements or other instruments governing or evidencing any Secured Non-Loan Exposure.</w:t>
      </w:r>
    </w:p>
    <w:p>
      <w:pPr>
        <w:spacing w:after="0" w:line="16"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Non-Loan Exposure</w:t>
      </w:r>
      <w:r>
        <w:rPr>
          <w:rFonts w:ascii="Arial" w:cs="Arial" w:eastAsia="Arial" w:hAnsi="Arial"/>
          <w:sz w:val="18"/>
          <w:szCs w:val="18"/>
          <w:color w:val="auto"/>
        </w:rPr>
        <w:t>” means, collectively, (i) all Permitted First Priority Non-Loan Exposure and (ii) all Permitted Junior Priority Non-Loan Exposure.</w:t>
      </w:r>
    </w:p>
    <w:p>
      <w:pPr>
        <w:spacing w:after="0" w:line="62"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means, collectively, (i) the Collateral Trustee, (ii) any First Priority Secured Party and (iii) any Junior Priority Secured Party.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Spectrum and Sale/Leaseback Amounts</w:t>
      </w:r>
      <w:r>
        <w:rPr>
          <w:rFonts w:ascii="Arial" w:cs="Arial" w:eastAsia="Arial" w:hAnsi="Arial"/>
          <w:sz w:val="18"/>
          <w:szCs w:val="18"/>
          <w:color w:val="auto"/>
        </w:rPr>
        <w:t>” means, at any time, the sum of:</w:t>
      </w:r>
    </w:p>
    <w:p>
      <w:pPr>
        <w:spacing w:after="0" w:line="117" w:lineRule="exact"/>
        <w:rPr>
          <w:sz w:val="20"/>
          <w:szCs w:val="20"/>
          <w:color w:val="auto"/>
        </w:rPr>
      </w:pPr>
    </w:p>
    <w:p>
      <w:pPr>
        <w:ind w:left="1000" w:right="339" w:hanging="348"/>
        <w:spacing w:after="0" w:line="255"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the First Priority Initial Spectrum Obligations, the lesser of (i) $3,500,000,000 and (ii) the sum of (x) the net present value at such time of the remaining unpaid operating lease payments owed to SpectrumCo1 under the Initial Intra-Company Spectrum Lease Agreement (discounted at a rate per annum equal to 10%, on a quarterly basis, assuming a 360-day year consisting of twelve 30-day months) and (y) the then outstanding amount (if any) of obligations under the Initial Spectrum Performance Agreement; and</w:t>
      </w:r>
    </w:p>
    <w:p>
      <w:pPr>
        <w:spacing w:after="0" w:line="84" w:lineRule="exact"/>
        <w:rPr>
          <w:rFonts w:ascii="Arial" w:cs="Arial" w:eastAsia="Arial" w:hAnsi="Arial"/>
          <w:sz w:val="18"/>
          <w:szCs w:val="18"/>
          <w:color w:val="auto"/>
        </w:rPr>
      </w:pPr>
    </w:p>
    <w:p>
      <w:pPr>
        <w:ind w:left="1000" w:right="339" w:hanging="348"/>
        <w:spacing w:after="0" w:line="308"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 respect to any First Priority Additional Sale/Leaseback Obligations, the lesser of (i) the dollar amount of First Priority Additional Sale/Leaseback Obligations designated by the Issuer as “First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93" w:lineRule="auto"/>
        <w:rPr>
          <w:sz w:val="20"/>
          <w:szCs w:val="20"/>
          <w:color w:val="auto"/>
        </w:rPr>
      </w:pPr>
      <w:r>
        <w:rPr>
          <w:rFonts w:ascii="Arial" w:cs="Arial" w:eastAsia="Arial" w:hAnsi="Arial"/>
          <w:sz w:val="16"/>
          <w:szCs w:val="16"/>
          <w:color w:val="auto"/>
        </w:rPr>
        <w:t>Priority Additional Sale/Leaseback Obligations” pursuant to the Intercreditor Agreement and (ii) the sum of (x) the net present value at such time of the remaining unpaid operating lease payments owed by the Issuer and the Secured Guarantors under any applicable Intra-Company Lease Agreements referred to in clause (ii) of the definition thereof (discounted in a manner consistent with the provisions thereof) and (y) the then outstanding amount (if any) of obligations of the Issuer and the Secured Guarantors under any Performance Agreement referred to in clause (ii) of the definition thereof.</w:t>
      </w:r>
    </w:p>
    <w:p>
      <w:pPr>
        <w:spacing w:after="0" w:line="5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Documents</w:t>
      </w:r>
      <w:r>
        <w:rPr>
          <w:rFonts w:ascii="Arial" w:cs="Arial" w:eastAsia="Arial" w:hAnsi="Arial"/>
          <w:sz w:val="16"/>
          <w:szCs w:val="16"/>
          <w:color w:val="auto"/>
        </w:rPr>
        <w:t>” means, collectively, the Collateral Agreement, and any other mortgages, deeds of trust, deeds to secure debt, security agreements, pledge agreements, agency agreements and other instruments and documents executed and delivered pursuant to the Intercreditor Agreement, the Indenture or any of the foregoing, as the same may be amended, supplemented or otherwise modified from time to time and pursuant to which Collateral is pledged, assigned or granted to or on behalf of the Collateral Trustee to secure the obligations under the Notes.</w:t>
      </w:r>
    </w:p>
    <w:p>
      <w:pPr>
        <w:spacing w:after="0" w:line="53" w:lineRule="exact"/>
        <w:rPr>
          <w:sz w:val="20"/>
          <w:szCs w:val="20"/>
          <w:color w:val="auto"/>
        </w:rPr>
      </w:pPr>
    </w:p>
    <w:p>
      <w:pPr>
        <w:ind w:left="300" w:right="10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Senior/Junior Intercreditor Agreement</w:t>
      </w:r>
      <w:r>
        <w:rPr>
          <w:rFonts w:ascii="Arial" w:cs="Arial" w:eastAsia="Arial" w:hAnsi="Arial"/>
          <w:sz w:val="17"/>
          <w:szCs w:val="17"/>
          <w:color w:val="auto"/>
        </w:rPr>
        <w:t>” means a senior lien priority / junior lien priority intercreditor agreement between or among the Credit Facility Agent, the Collateral Trustee and one or more Senior Representatives for holders of Indebtedness secured by any of the Collateral.</w:t>
      </w:r>
    </w:p>
    <w:p>
      <w:pPr>
        <w:spacing w:after="0" w:line="57"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Representative</w:t>
      </w:r>
      <w:r>
        <w:rPr>
          <w:rFonts w:ascii="Arial" w:cs="Arial" w:eastAsia="Arial" w:hAnsi="Arial"/>
          <w:sz w:val="16"/>
          <w:szCs w:val="16"/>
          <w:color w:val="auto"/>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4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the Issue Date, of such Person.</w:t>
      </w:r>
    </w:p>
    <w:p>
      <w:pPr>
        <w:spacing w:after="0" w:line="7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w:t>
      </w:r>
      <w:r>
        <w:rPr>
          <w:rFonts w:ascii="Arial" w:cs="Arial" w:eastAsia="Arial" w:hAnsi="Arial"/>
          <w:sz w:val="18"/>
          <w:szCs w:val="18"/>
          <w:color w:val="auto"/>
        </w:rPr>
        <w:t>” means frequencies of electromagnetic spectrum used to provide fixed or mobile communications services as licensed or authorized by the FCC.</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SpectrumCo1</w:t>
      </w:r>
      <w:r>
        <w:rPr>
          <w:rFonts w:ascii="Arial" w:cs="Arial" w:eastAsia="Arial" w:hAnsi="Arial"/>
          <w:sz w:val="18"/>
          <w:szCs w:val="18"/>
          <w:color w:val="auto"/>
        </w:rPr>
        <w:t>” means, collectively, the Spectrum special purpose vehicle Subsidiaries of Parent existing on the Issue Date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 SPV Equity Interests</w:t>
      </w:r>
      <w:r>
        <w:rPr>
          <w:rFonts w:ascii="Arial" w:cs="Arial" w:eastAsia="Arial" w:hAnsi="Arial"/>
          <w:sz w:val="18"/>
          <w:szCs w:val="18"/>
          <w:color w:val="auto"/>
        </w:rPr>
        <w:t>” means 100% of the Equity Interests in Sprint Spectrum Depositor LLC, Sprint Spectrum Depositor II LLC and Sprint Spectrum Depositor III LLC and any other SPV Holdco.</w:t>
      </w:r>
    </w:p>
    <w:p>
      <w:pPr>
        <w:spacing w:after="0" w:line="62"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Capital Corporation Indenture</w:t>
      </w:r>
      <w:r>
        <w:rPr>
          <w:rFonts w:ascii="Arial" w:cs="Arial" w:eastAsia="Arial" w:hAnsi="Arial"/>
          <w:sz w:val="16"/>
          <w:szCs w:val="16"/>
          <w:color w:val="auto"/>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spacing w:after="0" w:line="60"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Communications, Inc. Indenture</w:t>
      </w:r>
      <w:r>
        <w:rPr>
          <w:rFonts w:ascii="Arial" w:cs="Arial" w:eastAsia="Arial" w:hAnsi="Arial"/>
          <w:sz w:val="16"/>
          <w:szCs w:val="16"/>
          <w:color w:val="auto"/>
        </w:rPr>
        <w:t>”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 Supplemental Indenture, dated as of September 11, 2013, among Sprint Corporation, Sprint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spacing w:after="0" w:line="7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Corporation Indenture</w:t>
      </w:r>
      <w:r>
        <w:rPr>
          <w:rFonts w:ascii="Arial" w:cs="Arial" w:eastAsia="Arial" w:hAnsi="Arial"/>
          <w:sz w:val="18"/>
          <w:szCs w:val="18"/>
          <w:color w:val="auto"/>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Towers Transaction Agreements</w:t>
      </w:r>
      <w:r>
        <w:rPr>
          <w:rFonts w:ascii="Arial" w:cs="Arial" w:eastAsia="Arial" w:hAnsi="Arial"/>
          <w:sz w:val="18"/>
          <w:szCs w:val="18"/>
          <w:color w:val="auto"/>
        </w:rPr>
        <w:t>” means (i) the towers transactions agreements entered into prior to the Issue Date by Sprint Corporation and its affiliates and (ii)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SPV Holdco</w:t>
      </w:r>
      <w:r>
        <w:rPr>
          <w:rFonts w:ascii="Arial" w:cs="Arial" w:eastAsia="Arial" w:hAnsi="Arial"/>
          <w:sz w:val="17"/>
          <w:szCs w:val="17"/>
          <w:color w:val="auto"/>
        </w:rPr>
        <w:t>” means a Subsidiary of the Issuer that owns no material assets other than Equity Interests in one or more Permitted Spectrum Financing Subsidiaries, or in any holding company that owns no material assets other than Equity Interests in one or more Permitted Spectrum Financing Subsidiaries, other than, if otherwise deemed to be a SPV Holdco,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70"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419" w:hanging="348"/>
        <w:spacing w:after="0" w:line="273"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such Person or one or more of the other Subsidiaries of such Person (or a combination thereof); and</w:t>
      </w:r>
    </w:p>
    <w:p>
      <w:pPr>
        <w:spacing w:after="0" w:line="69" w:lineRule="exact"/>
        <w:rPr>
          <w:rFonts w:ascii="Arial" w:cs="Arial" w:eastAsia="Arial" w:hAnsi="Arial"/>
          <w:sz w:val="17"/>
          <w:szCs w:val="17"/>
          <w:color w:val="auto"/>
        </w:rPr>
      </w:pPr>
    </w:p>
    <w:p>
      <w:pPr>
        <w:ind w:left="1000" w:right="519" w:hanging="348"/>
        <w:spacing w:after="0" w:line="263"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collectively, the Guarantors that are Subsidiaries of the Issuer.</w:t>
      </w:r>
    </w:p>
    <w:p>
      <w:pPr>
        <w:spacing w:after="0" w:line="11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of the Issuer, Parent or any Guarantor, any obligation to pay or perform under any agreement, contract or transaction that constitutes a “swap” within the meaning of section 1a(47) of the Commodity Exchange Act.</w:t>
      </w:r>
    </w:p>
    <w:p>
      <w:pPr>
        <w:spacing w:after="0" w:line="76"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Syndicated Credit Agreement</w:t>
      </w:r>
      <w:r>
        <w:rPr>
          <w:rFonts w:ascii="Arial" w:cs="Arial" w:eastAsia="Arial" w:hAnsi="Arial"/>
          <w:sz w:val="17"/>
          <w:szCs w:val="17"/>
          <w:color w:val="auto"/>
        </w:rPr>
        <w:t>” means the Initial Syndicated Credit Agreement and any other syndicated credit agreement or loan agreement entered into with banks and/or other institutional investors.</w:t>
      </w:r>
    </w:p>
    <w:p>
      <w:pPr>
        <w:spacing w:after="0" w:line="38"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Test Period</w:t>
      </w:r>
      <w:r>
        <w:rPr>
          <w:rFonts w:ascii="Arial" w:cs="Arial" w:eastAsia="Arial" w:hAnsi="Arial"/>
          <w:sz w:val="16"/>
          <w:szCs w:val="16"/>
          <w:color w:val="auto"/>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First Lien Net Leverage Ratio</w:t>
      </w:r>
      <w:r>
        <w:rPr>
          <w:rFonts w:ascii="Arial" w:cs="Arial" w:eastAsia="Arial" w:hAnsi="Arial"/>
          <w:sz w:val="16"/>
          <w:szCs w:val="16"/>
          <w:color w:val="auto"/>
        </w:rPr>
        <w:t xml:space="preserve">” means, as of the last day of any period, the ratio of (a) (i) the Consolidated Indebtedness of such Person as of such date that constitutes First Lien Obligations (including, in any event, the aggregate amount of Consolidated Indebtedness constituting Permitted Spectrum Financings) less (ii) the aggregate amount of unrestricted Cash Equivalents of the Issuer and its Subsidiaries as of such date (it being agreed that Cash Equivalents restricted in favor of the Credit Facility Agent or Collateral Trustee (which may also include Cash Equivalents securing other Indebtedness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to the Notes and subject to the terms of the Intercreditor Agreement or any other Senior/Junior Intercreditor Agreement or senior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so long as the holders of such other Indebtedness do not have the benefit of a control agreement or other equivalent method of perfection (unless the Credit Facility Agent or Collateral Trustee also has the benefit of a control agreement or other equivalent method of perfection)) shall not be deemed to be restricted by virtue of such restriction) to (b) the Consolidated Cash Flow of such Person for such period, calculated on a Pro Forma Basis for such period and with such pro forma adjustments to Consolidated Indebtedness and Consolidated Cash Flow as are appropriate and in accordance with the provisions of the second paragraph and third paragraph of the definition of “Secured Debt to Cash Flow Ratio.”</w:t>
      </w:r>
    </w:p>
    <w:p>
      <w:pPr>
        <w:spacing w:after="0" w:line="63" w:lineRule="exact"/>
        <w:rPr>
          <w:sz w:val="20"/>
          <w:szCs w:val="20"/>
          <w:color w:val="auto"/>
        </w:rPr>
      </w:pPr>
    </w:p>
    <w:p>
      <w:pPr>
        <w:ind w:left="300" w:right="6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 Obligations</w:t>
      </w:r>
      <w:r>
        <w:rPr>
          <w:rFonts w:ascii="Arial" w:cs="Arial" w:eastAsia="Arial" w:hAnsi="Arial"/>
          <w:sz w:val="17"/>
          <w:szCs w:val="17"/>
          <w:color w:val="auto"/>
        </w:rPr>
        <w:t>” means long-term financial obligations in the amount of the net proceeds received and recognized interest on the obligations pursuant to the Towers Transactions Agreements.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Towers Transactions</w:t>
      </w:r>
      <w:r>
        <w:rPr>
          <w:rFonts w:ascii="Arial" w:cs="Arial" w:eastAsia="Arial" w:hAnsi="Arial"/>
          <w:sz w:val="17"/>
          <w:szCs w:val="17"/>
          <w:color w:val="auto"/>
        </w:rPr>
        <w:t>” means the transactions contemplated by the Towers Transactions Agreements.</w:t>
      </w:r>
    </w:p>
    <w:p>
      <w:pPr>
        <w:spacing w:after="0" w:line="129"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Transactions Agreements</w:t>
      </w:r>
      <w:r>
        <w:rPr>
          <w:rFonts w:ascii="Arial" w:cs="Arial" w:eastAsia="Arial" w:hAnsi="Arial"/>
          <w:sz w:val="18"/>
          <w:szCs w:val="18"/>
          <w:color w:val="auto"/>
        </w:rPr>
        <w:t>” means the Crown Towers Transaction Agreements, the Phoenix Towers Transaction Agreements and the Sprint Towers Transaction Agreements.</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means, collectively, (i) the consummation of the Merger, (ii) [reserved], (iii) [reserved],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2025 Notes, 2027 Notes, 2030 Notes, 2040 Notes and 2050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Indebtedness in connection with the Merger as contemplated by the Business Combination Agreement and (viii) the payment of all fees (including original discount), costs and expenses incurred by Parent, the Issuer or any of their Subsidiaries in connection with the foregoing.</w:t>
      </w:r>
    </w:p>
    <w:p>
      <w:pPr>
        <w:spacing w:after="0" w:line="60" w:lineRule="exact"/>
        <w:rPr>
          <w:sz w:val="20"/>
          <w:szCs w:val="20"/>
          <w:color w:val="auto"/>
        </w:rPr>
      </w:pPr>
    </w:p>
    <w:p>
      <w:pPr>
        <w:ind w:left="300" w:right="47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 Security Documents</w:t>
      </w:r>
      <w:r>
        <w:rPr>
          <w:rFonts w:ascii="Arial" w:cs="Arial" w:eastAsia="Arial" w:hAnsi="Arial"/>
          <w:sz w:val="17"/>
          <w:szCs w:val="17"/>
          <w:color w:val="auto"/>
        </w:rPr>
        <w:t>” means (i) in the case of any First Priority Agent, First Priority Secured Obligations, First Priority Secured Party and any Holder Representative in respect of any First Priority Secured Obligations, all First Priority Security Documents and (ii) in the case of any Junior Priority Agent, Junior Priority Secured Obligations, Junior Priority Secured Party and any Holder Representative in respect of any Junior Priority Secured Obligations, all Junior Priority Security Documents.</w:t>
      </w:r>
    </w:p>
    <w:p>
      <w:pPr>
        <w:spacing w:after="0" w:line="68" w:lineRule="exact"/>
        <w:rPr>
          <w:sz w:val="20"/>
          <w:szCs w:val="20"/>
          <w:color w:val="auto"/>
        </w:rPr>
      </w:pPr>
    </w:p>
    <w:p>
      <w:pPr>
        <w:jc w:val="both"/>
        <w:ind w:left="300" w:right="4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UCC</w:t>
      </w:r>
      <w:r>
        <w:rPr>
          <w:rFonts w:ascii="Arial" w:cs="Arial" w:eastAsia="Arial" w:hAnsi="Arial"/>
          <w:sz w:val="17"/>
          <w:szCs w:val="17"/>
          <w:color w:val="auto"/>
        </w:rPr>
        <w:t>” or “</w:t>
      </w:r>
      <w:r>
        <w:rPr>
          <w:rFonts w:ascii="Arial" w:cs="Arial" w:eastAsia="Arial" w:hAnsi="Arial"/>
          <w:sz w:val="17"/>
          <w:szCs w:val="17"/>
          <w:i w:val="1"/>
          <w:iCs w:val="1"/>
          <w:color w:val="auto"/>
        </w:rPr>
        <w:t>Uniform Commercial Code</w:t>
      </w:r>
      <w:r>
        <w:rPr>
          <w:rFonts w:ascii="Arial" w:cs="Arial" w:eastAsia="Arial" w:hAnsi="Arial"/>
          <w:sz w:val="17"/>
          <w:szCs w:val="17"/>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5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Guarantor</w:t>
      </w:r>
      <w:r>
        <w:rPr>
          <w:rFonts w:ascii="Arial" w:cs="Arial" w:eastAsia="Arial" w:hAnsi="Arial"/>
          <w:sz w:val="18"/>
          <w:szCs w:val="18"/>
          <w:color w:val="auto"/>
        </w:rPr>
        <w:t>” means (i) each of Sprint Corporation, Sprint Communications, Inc. and Sprint Capital Corporation and (ii) each Unsecured SPV Holdco.</w:t>
      </w:r>
    </w:p>
    <w:p>
      <w:pPr>
        <w:spacing w:after="0" w:line="62"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SPV Holdco</w:t>
      </w:r>
      <w:r>
        <w:rPr>
          <w:rFonts w:ascii="Arial" w:cs="Arial" w:eastAsia="Arial" w:hAnsi="Arial"/>
          <w:sz w:val="18"/>
          <w:szCs w:val="18"/>
          <w:color w:val="auto"/>
        </w:rPr>
        <w:t xml:space="preserve">” means any SPV Holdco which the Issuer has designated as an Unsecured SPV Holdco pursuant to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Unsecured SPV Holdco does not Guarantee (other than a Guarantee that is subordinated in right of payment to such SPV Holdco’s Guarantee of the obligations under the Existing T-Mobile Secured Notes and the obligations under the Credit Agreement) the Existing T-Mobile Unsecured Notes or any other Indebtedness other than (i) the Notes or any other secured notes, (ii) any other Indebtedness that constitutes First Priority Secured Obligations or (iii) any Indebtedness of Subsidiaries of such SPV Holdco.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Patent Rights</w:t>
      </w:r>
      <w:r>
        <w:rPr>
          <w:rFonts w:ascii="Arial" w:cs="Arial" w:eastAsia="Arial" w:hAnsi="Arial"/>
          <w:sz w:val="17"/>
          <w:szCs w:val="17"/>
          <w:color w:val="auto"/>
        </w:rPr>
        <w:t>” means (i) all patents of the United States, all reexaminations, reissues and extensions thereof, (ii) all applications for patents of the United States and all divisions, continuations and continuations-in-part thereof, (iii) all rights to obtain any reissues or extensions of the foregoing and (iv) all agreements, whether written or oral, providing for the grant for the grant by or to the Issuer or any Subsidiary Guarantor of any right to manufacture, use or sell any invention or design covered in whole or in part by any of the foregoing.</w:t>
      </w:r>
    </w:p>
    <w:p>
      <w:pPr>
        <w:spacing w:after="0" w:line="68"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Trademark Rights</w:t>
      </w:r>
      <w:r>
        <w:rPr>
          <w:rFonts w:ascii="Arial" w:cs="Arial" w:eastAsia="Arial" w:hAnsi="Arial"/>
          <w:sz w:val="18"/>
          <w:szCs w:val="18"/>
          <w:color w:val="auto"/>
        </w:rPr>
        <w:t>” means (i) all trademarks, trade names, service marks or logos, and all goodwill associated therewith, now existing or hereafter adopted or acquired, that have been registered or are the subject of an application to register filed in the United States Patent and Trademark Office or in any similar office or agency of the United States or any State thereof, including all registrations and recordings thereof, and all applications in connection therewith, (ii) the right to obtain all renewals of any of the foregoing, and (iii) any agreement, whether written or oral, providing for the grant by or to the Issuer or any Subsidiary Guarantor of any right to use any of the foregoing.</w:t>
      </w:r>
    </w:p>
    <w:p>
      <w:pPr>
        <w:spacing w:after="0" w:line="8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DESCRIPTION OF OTHER INDEBTEDNESS AND CERTAIN FINANCING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Unsecured Notes</w:t>
      </w:r>
    </w:p>
    <w:p>
      <w:pPr>
        <w:spacing w:after="0" w:line="121"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T-Mobile USA’s senior unsecured notes set forth in the table below (collectively, the “Existing T-Mobile Unsecured Notes”) are currently outstanding.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Earliest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5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2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Payment</w:t>
            </w: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2020</w:t>
            </w:r>
            <w:r>
              <w:rPr>
                <w:rFonts w:ascii="Arial" w:cs="Arial" w:eastAsia="Arial" w:hAnsi="Arial"/>
                <w:sz w:val="23"/>
                <w:szCs w:val="23"/>
                <w:b w:val="1"/>
                <w:bCs w:val="1"/>
                <w:color w:val="auto"/>
                <w:w w:val="84"/>
                <w:vertAlign w:val="superscript"/>
              </w:rPr>
              <w:t>(1)</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Dates</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26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4.000%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2022</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March 16, 2022</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4.000%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27, 2017</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 2022</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4"/>
              </w:rPr>
              <w:t>March 16, 2022</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2022-1 held by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28, 2017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September 4, 2014</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March 1, 2023</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1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6.000%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1, 2016</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 2024</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April 15, 2019</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due 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5.125%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2025</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15, 2020</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4.500%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January 25, 2018</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due 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4.500%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30, 2018</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due 2026-1 held by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740" w:type="dxa"/>
            <w:vAlign w:val="bottom"/>
          </w:tcPr>
          <w:p>
            <w:pPr>
              <w:spacing w:after="0"/>
              <w:rPr>
                <w:sz w:val="20"/>
                <w:szCs w:val="20"/>
                <w:color w:val="auto"/>
              </w:rPr>
            </w:pPr>
            <w:r>
              <w:rPr>
                <w:rFonts w:ascii="Arial" w:cs="Arial" w:eastAsia="Arial" w:hAnsi="Arial"/>
                <w:sz w:val="18"/>
                <w:szCs w:val="18"/>
                <w:color w:val="auto"/>
              </w:rPr>
              <w:t>6.500%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2,000,000,000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November 5, 2015</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w w:val="99"/>
              </w:rPr>
              <w:t>January 15 and</w:t>
            </w:r>
          </w:p>
        </w:tc>
        <w:tc>
          <w:tcPr>
            <w:tcW w:w="1180" w:type="dxa"/>
            <w:vAlign w:val="bottom"/>
          </w:tcPr>
          <w:p>
            <w:pPr>
              <w:spacing w:after="0"/>
              <w:rPr>
                <w:sz w:val="20"/>
                <w:szCs w:val="20"/>
                <w:color w:val="auto"/>
              </w:rPr>
            </w:pPr>
            <w:r>
              <w:rPr>
                <w:rFonts w:ascii="Arial" w:cs="Arial" w:eastAsia="Arial" w:hAnsi="Arial"/>
                <w:sz w:val="18"/>
                <w:szCs w:val="18"/>
                <w:color w:val="auto"/>
              </w:rPr>
              <w:t>January 15,</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January 15,</w:t>
            </w:r>
          </w:p>
        </w:tc>
        <w:tc>
          <w:tcPr>
            <w:tcW w:w="0" w:type="dxa"/>
            <w:vAlign w:val="bottom"/>
          </w:tcPr>
          <w:p>
            <w:pPr>
              <w:spacing w:after="0"/>
              <w:rPr>
                <w:sz w:val="1"/>
                <w:szCs w:val="1"/>
                <w:color w:val="auto"/>
              </w:rPr>
            </w:pPr>
          </w:p>
        </w:tc>
      </w:tr>
      <w:tr>
        <w:trPr>
          <w:trHeight w:val="294"/>
        </w:trPr>
        <w:tc>
          <w:tcPr>
            <w:tcW w:w="1740" w:type="dxa"/>
            <w:vAlign w:val="bottom"/>
          </w:tcPr>
          <w:p>
            <w:pPr>
              <w:ind w:left="180"/>
              <w:spacing w:after="0" w:line="294" w:lineRule="exact"/>
              <w:rPr>
                <w:sz w:val="20"/>
                <w:szCs w:val="20"/>
                <w:color w:val="auto"/>
              </w:rPr>
            </w:pPr>
            <w:r>
              <w:rPr>
                <w:rFonts w:ascii="Arial" w:cs="Arial" w:eastAsia="Arial" w:hAnsi="Arial"/>
                <w:sz w:val="18"/>
                <w:szCs w:val="18"/>
                <w:color w:val="auto"/>
              </w:rPr>
              <w:t>due 2026</w:t>
            </w:r>
            <w:r>
              <w:rPr>
                <w:rFonts w:ascii="Arial" w:cs="Arial" w:eastAsia="Arial" w:hAnsi="Arial"/>
                <w:sz w:val="29"/>
                <w:szCs w:val="29"/>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July 15</w:t>
            </w:r>
          </w:p>
        </w:tc>
        <w:tc>
          <w:tcPr>
            <w:tcW w:w="118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5.375%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2027</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740" w:type="dxa"/>
            <w:vAlign w:val="bottom"/>
          </w:tcPr>
          <w:p>
            <w:pPr>
              <w:spacing w:after="0"/>
              <w:rPr>
                <w:sz w:val="20"/>
                <w:szCs w:val="20"/>
                <w:color w:val="auto"/>
              </w:rPr>
            </w:pPr>
            <w:r>
              <w:rPr>
                <w:rFonts w:ascii="Arial" w:cs="Arial" w:eastAsia="Arial" w:hAnsi="Arial"/>
                <w:sz w:val="18"/>
                <w:szCs w:val="18"/>
                <w:color w:val="auto"/>
              </w:rPr>
              <w:t>5.375%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1,250,000,000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28, 2017</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2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2027-1 held by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($750 million)</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line="226" w:lineRule="exact"/>
              <w:rPr>
                <w:sz w:val="20"/>
                <w:szCs w:val="20"/>
                <w:color w:val="auto"/>
              </w:rPr>
            </w:pPr>
            <w:r>
              <w:rPr>
                <w:rFonts w:ascii="Arial" w:cs="Arial" w:eastAsia="Arial" w:hAnsi="Arial"/>
                <w:sz w:val="16"/>
                <w:szCs w:val="16"/>
                <w:color w:val="auto"/>
              </w:rPr>
              <w:t>2022</w:t>
            </w:r>
            <w:r>
              <w:rPr>
                <w:rFonts w:ascii="Arial" w:cs="Arial" w:eastAsia="Arial" w:hAnsi="Arial"/>
                <w:sz w:val="26"/>
                <w:szCs w:val="26"/>
                <w:color w:val="auto"/>
                <w:vertAlign w:val="superscript"/>
              </w:rPr>
              <w:t>(3)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3"/>
              </w:rPr>
              <w:t>September 18, 2017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4.750%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January 25, 2018</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1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4.750%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1,500,000,000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30, 2018</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2028-1 held by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Pr>
          <w:p>
            <w:pPr>
              <w:spacing w:after="0"/>
              <w:rPr>
                <w:sz w:val="20"/>
                <w:szCs w:val="20"/>
                <w:color w:val="auto"/>
              </w:rPr>
            </w:pPr>
            <w:r>
              <w:rPr>
                <w:rFonts w:ascii="Arial" w:cs="Arial" w:eastAsia="Arial" w:hAnsi="Arial"/>
                <w:sz w:val="18"/>
                <w:szCs w:val="18"/>
                <w:color w:val="auto"/>
              </w:rPr>
              <w:t>2028</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$13,050,000,000</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-5160010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-5160010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-5160010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-5160010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-5160010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339" w:hanging="348"/>
        <w:spacing w:after="0" w:line="251" w:lineRule="auto"/>
        <w:tabs>
          <w:tab w:leader="none" w:pos="6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Does not include (a) $1,000,000,000 in aggregate principal amount of 2.250% Senior Notes due 2026 (the “New 2.250% 2026 Notes”) issued on January 14, 2021, bearing interest payable on February 15 and August 15 and maturing on February 15, 2026, (b) $1,200,000,000 in aggregate principal amount of 2.625% Senior Notes due 2026 (the “New 2.625% 2026 Notes”) issued on March 23, 2021, bearing interest payable on April 15 and October 15 and maturing on April 15, 2026, (c) $1,000,000,000 in aggregate principal amount of 2.625% Senior Notes due 2029 (the “New 2.625% 2029 Notes”) issued on January 14, 2021, bearing interest</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4" w:name="page125"/>
    <w:bookmarkEnd w:id="124"/>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660" w:right="1440"/>
        <w:spacing w:after="0" w:line="263" w:lineRule="auto"/>
        <w:rPr>
          <w:sz w:val="20"/>
          <w:szCs w:val="20"/>
          <w:color w:val="auto"/>
        </w:rPr>
      </w:pPr>
      <w:r>
        <w:rPr>
          <w:rFonts w:ascii="Arial" w:cs="Arial" w:eastAsia="Arial" w:hAnsi="Arial"/>
          <w:sz w:val="12"/>
          <w:szCs w:val="12"/>
          <w:color w:val="auto"/>
        </w:rPr>
        <w:t>payable on February 15 and August 15 and maturing on February 15, 2029, (d) $1,250,000,000 in aggregate principal amount of 3.375% Senior Notes due 2029 (the “New 3.375% 2029 Notes”) issued on March 23, 2021, bearing interest payable on April 15 and October 15 and maturing on April 15, 2029, (e) $1,000,000,000 in aggregate principal amount of 2.875% Senior Notes due 2031 (the “New 2.875% 2031 Notes”) issued on January 14, 2021, bearing interest payable on February 15 and August 15 and maturing on February 15, 2031 and</w:t>
      </w:r>
    </w:p>
    <w:p>
      <w:pPr>
        <w:spacing w:after="0" w:line="1" w:lineRule="exact"/>
        <w:rPr>
          <w:sz w:val="20"/>
          <w:szCs w:val="20"/>
          <w:color w:val="auto"/>
        </w:rPr>
      </w:pPr>
    </w:p>
    <w:p>
      <w:pPr>
        <w:ind w:left="1660" w:right="1360"/>
        <w:spacing w:after="0" w:line="238" w:lineRule="auto"/>
        <w:rPr>
          <w:sz w:val="20"/>
          <w:szCs w:val="20"/>
          <w:color w:val="auto"/>
        </w:rPr>
      </w:pPr>
      <w:r>
        <w:rPr>
          <w:rFonts w:ascii="Arial" w:cs="Arial" w:eastAsia="Arial" w:hAnsi="Arial"/>
          <w:sz w:val="13"/>
          <w:szCs w:val="13"/>
          <w:color w:val="auto"/>
        </w:rPr>
        <w:t>(f) $1,350,000,000 in aggregate principal amount of 3.500% Senior Notes due 2031 (the “New 3.500% 2031 Notes”) issued on March 23, 2021, bearing interest payable on April 15 and October 15 and maturing on April 15, 2031. T-Mobile USA may, at its option, redeem some or all of the New 2.250% 2026 Notes, the New 2.625% 2026 Notes, the New 2.625% 2029 Notes, the New 3.375% 2029 Notes, the New</w:t>
      </w:r>
    </w:p>
    <w:p>
      <w:pPr>
        <w:ind w:left="1660" w:right="1320"/>
        <w:spacing w:after="0" w:line="225" w:lineRule="auto"/>
        <w:rPr>
          <w:sz w:val="20"/>
          <w:szCs w:val="20"/>
          <w:color w:val="auto"/>
        </w:rPr>
      </w:pPr>
      <w:r>
        <w:rPr>
          <w:rFonts w:ascii="Arial" w:cs="Arial" w:eastAsia="Arial" w:hAnsi="Arial"/>
          <w:sz w:val="14"/>
          <w:szCs w:val="14"/>
          <w:color w:val="auto"/>
        </w:rPr>
        <w:t>2.875% 2031 Notes or the New 3.500% 2031 Notes at any time on or after February 15, 2023, April 15, 2023, February 15, 2024, April 15, 2024, February 15, 2026 or April 15, 2026, respectively, at the redemption price set forth in the governing indenture, or prior to such dates at a specified “make-whole” redemption price plus accrued and unpaid interest to, but not including, the redemption date. In addition, prior to February 15, 2023, April 15, 2023, February 15, 2024, April 15, 2024, February 15, 2024 or April 15, 2024, T-Mobile USA may also redeem up to 40% of the aggregate principal amount of the New 2.250% 2026 Notes, the New 2.625% 2026 Notes, the New 2.625% 2029 Notes, the New 3.375% 2029 Notes, the New 2.875% 2031 Notes or the New 3.500% 2031 Notes, respectively, at the redemption prices set forth in the governing indenture, with the net cash proceeds of certain sales of equity securities, including the sale of Parent’s common stock.</w:t>
      </w:r>
    </w:p>
    <w:p>
      <w:pPr>
        <w:spacing w:after="0" w:line="22" w:lineRule="exact"/>
        <w:rPr>
          <w:sz w:val="20"/>
          <w:szCs w:val="20"/>
          <w:color w:val="auto"/>
        </w:rPr>
      </w:pPr>
    </w:p>
    <w:p>
      <w:pPr>
        <w:ind w:left="1640" w:hanging="348"/>
        <w:spacing w:after="0"/>
        <w:tabs>
          <w:tab w:leader="none" w:pos="1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6.500% Senior Notes due 2026 were redeemed in full on March 27, 2021 and are no longer outstanding.</w:t>
      </w:r>
    </w:p>
    <w:p>
      <w:pPr>
        <w:spacing w:after="0" w:line="41" w:lineRule="exact"/>
        <w:rPr>
          <w:rFonts w:ascii="Arial" w:cs="Arial" w:eastAsia="Arial" w:hAnsi="Arial"/>
          <w:sz w:val="14"/>
          <w:szCs w:val="14"/>
          <w:color w:val="auto"/>
        </w:rPr>
      </w:pPr>
    </w:p>
    <w:p>
      <w:pPr>
        <w:ind w:left="1640" w:right="1620" w:hanging="348"/>
        <w:spacing w:after="0" w:line="253" w:lineRule="auto"/>
        <w:tabs>
          <w:tab w:leader="none" w:pos="1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Gives effect to the amended maturity date specified in the Financing Matters Agreement, dated as of April 29, 2018 between T-Mobile USA and Deutsche Telekom.</w:t>
      </w:r>
    </w:p>
    <w:p>
      <w:pPr>
        <w:spacing w:after="0" w:line="70" w:lineRule="exact"/>
        <w:rPr>
          <w:sz w:val="20"/>
          <w:szCs w:val="20"/>
          <w:color w:val="auto"/>
        </w:rPr>
      </w:pPr>
    </w:p>
    <w:p>
      <w:pPr>
        <w:ind w:left="1300" w:right="1320" w:firstLine="360"/>
        <w:spacing w:after="0" w:line="269" w:lineRule="auto"/>
        <w:rPr>
          <w:sz w:val="20"/>
          <w:szCs w:val="20"/>
          <w:color w:val="auto"/>
        </w:rPr>
      </w:pPr>
      <w:r>
        <w:rPr>
          <w:rFonts w:ascii="Arial" w:cs="Arial" w:eastAsia="Arial" w:hAnsi="Arial"/>
          <w:sz w:val="17"/>
          <w:szCs w:val="17"/>
          <w:color w:val="auto"/>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spacing w:after="0" w:line="71" w:lineRule="exact"/>
        <w:rPr>
          <w:sz w:val="20"/>
          <w:szCs w:val="20"/>
          <w:color w:val="auto"/>
        </w:rPr>
      </w:pPr>
    </w:p>
    <w:p>
      <w:pPr>
        <w:ind w:left="1300" w:right="1380" w:firstLine="360"/>
        <w:spacing w:after="0" w:line="259" w:lineRule="auto"/>
        <w:rPr>
          <w:sz w:val="20"/>
          <w:szCs w:val="20"/>
          <w:color w:val="auto"/>
        </w:rPr>
      </w:pPr>
      <w:r>
        <w:rPr>
          <w:rFonts w:ascii="Arial" w:cs="Arial" w:eastAsia="Arial" w:hAnsi="Arial"/>
          <w:sz w:val="18"/>
          <w:szCs w:val="18"/>
          <w:color w:val="auto"/>
        </w:rPr>
        <w:t>The Original Notes are, and the Exchange Notes will be, different series than the Existing T-Mobile Unsecured Notes, will not vote together with any of the Existing T-Mobile Unsecured Notes, will not be required to be redeemed on a pro rata basis with any of the Existing T-Mobile Unsecured Notes and will not trade with any of the Existing T-Mobile Unsecured Notes.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Existing Sprint Unsecured Notes</w:t>
      </w:r>
    </w:p>
    <w:p>
      <w:pPr>
        <w:spacing w:after="0" w:line="121" w:lineRule="exact"/>
        <w:rPr>
          <w:sz w:val="20"/>
          <w:szCs w:val="20"/>
          <w:color w:val="auto"/>
        </w:rPr>
      </w:pPr>
    </w:p>
    <w:p>
      <w:pPr>
        <w:ind w:left="1300" w:right="1340" w:firstLine="360"/>
        <w:spacing w:after="0" w:line="271" w:lineRule="auto"/>
        <w:rPr>
          <w:sz w:val="20"/>
          <w:szCs w:val="20"/>
          <w:color w:val="auto"/>
        </w:rPr>
      </w:pPr>
      <w:r>
        <w:rPr>
          <w:rFonts w:ascii="Arial" w:cs="Arial" w:eastAsia="Arial" w:hAnsi="Arial"/>
          <w:sz w:val="17"/>
          <w:szCs w:val="17"/>
          <w:color w:val="auto"/>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3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Payment</w:t>
            </w: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Dates</w:t>
            </w:r>
          </w:p>
        </w:tc>
        <w:tc>
          <w:tcPr>
            <w:tcW w:w="2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Sprint Capital Corporation notes</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6.875% senior notes due 2028</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$2,475,000,000</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November 16,</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262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1998</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tcPr>
          <w:p>
            <w:pPr>
              <w:spacing w:after="0"/>
              <w:rPr>
                <w:sz w:val="20"/>
                <w:szCs w:val="20"/>
                <w:color w:val="auto"/>
              </w:rPr>
            </w:pPr>
            <w:r>
              <w:rPr>
                <w:rFonts w:ascii="Arial" w:cs="Arial" w:eastAsia="Arial" w:hAnsi="Arial"/>
                <w:sz w:val="18"/>
                <w:szCs w:val="18"/>
                <w:color w:val="auto"/>
              </w:rPr>
              <w:t>2028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0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8.750% senior notes due 2032</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$2,000,000,000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March 14,</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March 15, 2032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2002</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Sprint Communications, Inc. notes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11.500% senior notes due 2021</w:t>
            </w: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$1,000,000,000</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9,</w:t>
            </w:r>
          </w:p>
        </w:tc>
        <w:tc>
          <w:tcPr>
            <w:tcW w:w="1480" w:type="dxa"/>
            <w:vAlign w:val="bottom"/>
            <w:tcBorders>
              <w:top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2011</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6.000% senior notes due 2022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$2,280,000,000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November 14,</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262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tcPr>
          <w:p>
            <w:pPr>
              <w:spacing w:after="0"/>
              <w:rPr>
                <w:sz w:val="20"/>
                <w:szCs w:val="20"/>
                <w:color w:val="auto"/>
              </w:rPr>
            </w:pPr>
            <w:r>
              <w:rPr>
                <w:rFonts w:ascii="Arial" w:cs="Arial" w:eastAsia="Arial" w:hAnsi="Arial"/>
                <w:sz w:val="18"/>
                <w:szCs w:val="18"/>
                <w:color w:val="auto"/>
              </w:rPr>
              <w:t>2022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80" w:type="dxa"/>
            <w:vAlign w:val="bottom"/>
            <w:gridSpan w:val="4"/>
          </w:tcPr>
          <w:p>
            <w:pPr>
              <w:jc w:val="right"/>
              <w:ind w:right="1192"/>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-1053465</wp:posOffset>
            </wp:positionV>
            <wp:extent cx="254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-1876425</wp:posOffset>
            </wp:positionV>
            <wp:extent cx="25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-2091055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-2091055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-2091055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-2091055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5" w:name="page126"/>
    <w:bookmarkEnd w:id="125"/>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Principal</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Amount as of</w:t>
            </w:r>
          </w:p>
        </w:tc>
        <w:tc>
          <w:tcPr>
            <w:tcW w:w="13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Payment</w:t>
            </w:r>
          </w:p>
        </w:tc>
        <w:tc>
          <w:tcPr>
            <w:tcW w:w="13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2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Dates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Sprint Corporation notes</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7.250% senior notes due 2021</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2,250,000,000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September 11,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7.875% senior notes due 2023</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4,250,000,000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September 11,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7"/>
        </w:trPr>
        <w:tc>
          <w:tcPr>
            <w:tcW w:w="1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9"/>
        </w:trPr>
        <w:tc>
          <w:tcPr>
            <w:tcW w:w="2840" w:type="dxa"/>
            <w:vAlign w:val="bottom"/>
            <w:gridSpan w:val="2"/>
          </w:tcPr>
          <w:p>
            <w:pPr>
              <w:spacing w:after="0"/>
              <w:rPr>
                <w:sz w:val="20"/>
                <w:szCs w:val="20"/>
                <w:color w:val="auto"/>
              </w:rPr>
            </w:pPr>
            <w:r>
              <w:rPr>
                <w:rFonts w:ascii="Arial" w:cs="Arial" w:eastAsia="Arial" w:hAnsi="Arial"/>
                <w:sz w:val="18"/>
                <w:szCs w:val="18"/>
                <w:color w:val="auto"/>
              </w:rPr>
              <w:t>7.125% senior notes due 2024</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2,500,000,000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December 12,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June 15 and</w:t>
            </w:r>
          </w:p>
        </w:tc>
        <w:tc>
          <w:tcPr>
            <w:tcW w:w="1320" w:type="dxa"/>
            <w:vAlign w:val="bottom"/>
          </w:tcPr>
          <w:p>
            <w:pPr>
              <w:spacing w:after="0"/>
              <w:rPr>
                <w:sz w:val="20"/>
                <w:szCs w:val="20"/>
                <w:color w:val="auto"/>
              </w:rPr>
            </w:pPr>
            <w:r>
              <w:rPr>
                <w:rFonts w:ascii="Arial" w:cs="Arial" w:eastAsia="Arial" w:hAnsi="Arial"/>
                <w:sz w:val="18"/>
                <w:szCs w:val="18"/>
                <w:color w:val="auto"/>
              </w:rPr>
              <w:t>June 15, 2024</w:t>
            </w: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December 15</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7.625% senior notes due 2025</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1,500,000,000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February 24,</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February 15,</w:t>
            </w: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August 15</w:t>
            </w: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7.625% senior notes due 2026</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1,500,000,000</w:t>
            </w:r>
          </w:p>
        </w:tc>
        <w:tc>
          <w:tcPr>
            <w:tcW w:w="8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February 22,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1 and</w:t>
            </w:r>
          </w:p>
        </w:tc>
        <w:tc>
          <w:tcPr>
            <w:tcW w:w="1320" w:type="dxa"/>
            <w:vAlign w:val="bottom"/>
          </w:tcPr>
          <w:p>
            <w:pPr>
              <w:spacing w:after="0"/>
              <w:rPr>
                <w:sz w:val="20"/>
                <w:szCs w:val="20"/>
                <w:color w:val="auto"/>
              </w:rPr>
            </w:pPr>
            <w:r>
              <w:rPr>
                <w:rFonts w:ascii="Arial" w:cs="Arial" w:eastAsia="Arial" w:hAnsi="Arial"/>
                <w:sz w:val="18"/>
                <w:szCs w:val="18"/>
                <w:color w:val="auto"/>
              </w:rPr>
              <w:t>March 1,2026</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2018</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September 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$19,755,000,000</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-1782445</wp:posOffset>
            </wp:positionV>
            <wp:extent cx="25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-1997075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-1997075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-1997075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-1997075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519" w:hanging="348"/>
        <w:spacing w:after="0" w:line="238" w:lineRule="auto"/>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p>
      <w:pPr>
        <w:spacing w:after="0" w:line="79"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11.500% senior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spacing w:after="0" w:line="6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Existing Sprint Indentures, as amended and supplemented with respect to the Existing Sprint Unsecured Notes, contain covenants and other terms, including covenants that, among other things, restrict the ability of 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Spectrum Note Facility</w:t>
      </w:r>
    </w:p>
    <w:p>
      <w:pPr>
        <w:spacing w:after="0" w:line="121"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The notes set forth in the table below (the “Existing Sprint Spectrum-Backed Notes”) are currently outstanding under Sprint’s $7.0 billion securitization program (the “Sprint Spectrum Note Facility”) and were issued through a group of bankruptcy-remote special purpose entities (the “Existing Sprint Spectrum Note Entities”) formed for such transaction, each of which are wholly-owned by T-Mobile and non-guarantor “Restricted Subsidiaries” under the indentures governing the Notes, the Existing T-Mobile Unsecured Notes and the Credit Agreement.</w:t>
      </w:r>
    </w:p>
    <w:p>
      <w:pPr>
        <w:spacing w:after="0" w:line="53"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 xml:space="preserve">The Existing Sprint Spectrum-Backed Notes are secured primarily by a separate pool of 2.5 GHz and 1.9 GHz spectrum which has been pledged to secure indebtedness available under the Sprint Spectrum Note Facility (the “Sprint Spectrum Portfolio”). Although the Sprint Spectrum Portfolio is excluded from the Collateral, the indenture governing the Notes will deem any outstanding Existing Sprint Spectrum-Backed Notes as indebtedness ranking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the Notes for purposes of calculating the consolidated first lien secured leverage ratio.</w:t>
      </w:r>
    </w:p>
    <w:p>
      <w:pPr>
        <w:spacing w:after="0" w:line="53"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Additional credit enhancement includes a letter of credit supporting an 18-month interest and expense reserve and a pledge of the secured payment obligations under the Existing Sprint Spectrum Lease.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spacing w:after="0" w:line="4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Amortizing</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8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Tranche</w:t>
            </w: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Only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8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2016-1 3.360% Senior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  656,250,000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3"/>
              </w:rPr>
              <w:t>September 20,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Secured Notes, Class A-1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2016 through</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through</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December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200" w:type="dxa"/>
            <w:vAlign w:val="bottom"/>
          </w:tcPr>
          <w:p>
            <w:pPr>
              <w:spacing w:after="0"/>
              <w:rPr>
                <w:sz w:val="20"/>
                <w:szCs w:val="20"/>
                <w:color w:val="auto"/>
              </w:rPr>
            </w:pPr>
            <w:r>
              <w:rPr>
                <w:rFonts w:ascii="Arial" w:cs="Arial" w:eastAsia="Arial" w:hAnsi="Arial"/>
                <w:sz w:val="18"/>
                <w:szCs w:val="18"/>
                <w:color w:val="auto"/>
                <w:w w:val="92"/>
              </w:rPr>
              <w:t>Series 2018-1 4.738% Senior</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w w:val="87"/>
              </w:rPr>
              <w:t>$2,100,000,000</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rPr>
              <w:t>June 2018</w:t>
            </w:r>
          </w:p>
        </w:tc>
        <w:tc>
          <w:tcPr>
            <w:tcW w:w="1180" w:type="dxa"/>
            <w:vAlign w:val="bottom"/>
            <w:gridSpan w:val="2"/>
          </w:tcPr>
          <w:p>
            <w:pPr>
              <w:spacing w:after="0"/>
              <w:rPr>
                <w:sz w:val="20"/>
                <w:szCs w:val="20"/>
                <w:color w:val="auto"/>
              </w:rPr>
            </w:pPr>
            <w:r>
              <w:rPr>
                <w:rFonts w:ascii="Arial" w:cs="Arial" w:eastAsia="Arial" w:hAnsi="Arial"/>
                <w:sz w:val="18"/>
                <w:szCs w:val="18"/>
                <w:color w:val="auto"/>
              </w:rPr>
              <w:t>June 2021</w:t>
            </w:r>
          </w:p>
        </w:tc>
        <w:tc>
          <w:tcPr>
            <w:tcW w:w="1120" w:type="dxa"/>
            <w:vAlign w:val="bottom"/>
          </w:tcPr>
          <w:p>
            <w:pPr>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200" w:type="dxa"/>
            <w:vAlign w:val="bottom"/>
          </w:tcPr>
          <w:p>
            <w:pPr>
              <w:ind w:left="160"/>
              <w:spacing w:after="0"/>
              <w:rPr>
                <w:sz w:val="20"/>
                <w:szCs w:val="20"/>
                <w:color w:val="auto"/>
              </w:rPr>
            </w:pPr>
            <w:r>
              <w:rPr>
                <w:rFonts w:ascii="Arial" w:cs="Arial" w:eastAsia="Arial" w:hAnsi="Arial"/>
                <w:sz w:val="18"/>
                <w:szCs w:val="18"/>
                <w:color w:val="auto"/>
                <w:w w:val="97"/>
              </w:rPr>
              <w:t>Secured Notes, Class A-1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9"/>
              </w:rPr>
              <w:t>through March</w:t>
            </w:r>
          </w:p>
        </w:tc>
        <w:tc>
          <w:tcPr>
            <w:tcW w:w="1180" w:type="dxa"/>
            <w:vAlign w:val="bottom"/>
            <w:gridSpan w:val="2"/>
          </w:tcPr>
          <w:p>
            <w:pPr>
              <w:spacing w:after="0"/>
              <w:rPr>
                <w:sz w:val="20"/>
                <w:szCs w:val="20"/>
                <w:color w:val="auto"/>
              </w:rPr>
            </w:pPr>
            <w:r>
              <w:rPr>
                <w:rFonts w:ascii="Arial" w:cs="Arial" w:eastAsia="Arial" w:hAnsi="Arial"/>
                <w:sz w:val="18"/>
                <w:szCs w:val="18"/>
                <w:color w:val="auto"/>
                <w:w w:val="99"/>
              </w:rPr>
              <w:t>through March</w:t>
            </w:r>
          </w:p>
        </w:tc>
        <w:tc>
          <w:tcPr>
            <w:tcW w:w="1120" w:type="dxa"/>
            <w:vAlign w:val="bottom"/>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2018-1 5.152% Senior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$1,837,500,000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2018</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2023</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Secured Notes, Class A-2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through March</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through March</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9"/>
        </w:trPr>
        <w:tc>
          <w:tcPr>
            <w:tcW w:w="2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December 20</w:t>
            </w:r>
          </w:p>
        </w:tc>
        <w:tc>
          <w:tcPr>
            <w:tcW w:w="1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2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w w:val="87"/>
              </w:rPr>
              <w:t>$4,593,750,000</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-1764030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-1764030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-1764030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-1764030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-1764030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0" w:lineRule="exact"/>
        <w:rPr>
          <w:sz w:val="20"/>
          <w:szCs w:val="20"/>
          <w:color w:val="auto"/>
        </w:rPr>
      </w:pPr>
    </w:p>
    <w:p>
      <w:pPr>
        <w:ind w:left="300" w:right="459" w:firstLine="360"/>
        <w:spacing w:after="0" w:line="296" w:lineRule="auto"/>
        <w:rPr>
          <w:sz w:val="20"/>
          <w:szCs w:val="20"/>
          <w:color w:val="auto"/>
        </w:rPr>
      </w:pPr>
      <w:r>
        <w:rPr>
          <w:rFonts w:ascii="Arial" w:cs="Arial" w:eastAsia="Arial" w:hAnsi="Arial"/>
          <w:sz w:val="16"/>
          <w:szCs w:val="16"/>
          <w:color w:val="auto"/>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Notes that is capped at $3.5 billion.</w:t>
      </w:r>
    </w:p>
    <w:p>
      <w:pPr>
        <w:spacing w:after="0" w:line="5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 Entity becoming available to its parent entities (including T-Mobile). Accordingly, the assets of the Existing 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spacing w:after="0" w:line="8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the Existing Sprint Spectrum Note Entities are wholly-owned subsidiaries of T-Mobile, these entities will be consolidated and all intercompany activity will be eliminated for accounting purposes.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On April 1, 2020, T-Mobile USA entered into a Credit Agreement (the “Credit Agreement”) by and among T-Mobile USA, as borrower, Deutsche Bank AG New York Branch, as administrative agent, and the lenders and other financial institutions party thereto, initially providing for a $4.0 billion secured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rates of interest on amounts borrowed under the Revolving Credit Facility are based on, at T-Mobile USA’s option, either the London Inter Bank Offered Rate (“LIBOR”) (subject to a 0% LIBOR floor) plus a margin of</w:t>
      </w:r>
    </w:p>
    <w:p>
      <w:pPr>
        <w:ind w:left="300" w:right="339"/>
        <w:spacing w:after="0" w:line="287" w:lineRule="auto"/>
        <w:rPr>
          <w:sz w:val="20"/>
          <w:szCs w:val="20"/>
          <w:color w:val="auto"/>
        </w:rPr>
      </w:pPr>
      <w:r>
        <w:rPr>
          <w:rFonts w:ascii="Arial" w:cs="Arial" w:eastAsia="Arial" w:hAnsi="Arial"/>
          <w:sz w:val="16"/>
          <w:szCs w:val="16"/>
          <w:color w:val="auto"/>
        </w:rPr>
        <w:t>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spacing w:after="0" w:line="8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(the “Collateral Agreement”), by and among T-Mobile USA, Parent and the other grantors party thereto in favor of Deutsche Bank Trust Company Americas, as collateral trustee, and related documentation.</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spacing w:after="0" w:line="5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 Agreement) determined on a Pro Forma Basis for the most recently ended Test Period plus (b) the amount of all voluntary prepayments, cash amounts actually paid in connection with below par term loan buybacks (to the 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 1.0 in the case of incremental loans or commitments that are first lien obligations, Total Secured Net Leverage Ratio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Revolving Credit Facility contains a financial maintenance covenant, requiring T-Mobile USA to maintain a Total First Lien Net Leverage Ratio of 3.30 to 1.00 or less at each fiscal quarter end beginning with the fiscal quarter ending September 30, 2020.</w:t>
      </w:r>
    </w:p>
    <w:p>
      <w:pPr>
        <w:spacing w:after="0" w:line="76"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Standard &amp; Poor’s Ratings Group, a division of The McGraw Hill Corporation (“S&amp;P”), Moody’s Investors Services, Inc. (“Moody’s”) and Fitch Ratings, Inc. (“Fitch”), where our corporate rating on any day during such period is below the rating by each such rating agency in effect immediately preceding the change of control shall constitute an event of default; provided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provided, further, that, notwithstanding the foregoing, no event of default shall occur under the Credit Agreement if 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spacing w:after="0" w:line="5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Tower Transactions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In 2012, T-Mobile conveyed to Crown Castle International Corp. (“CCI”) the exclusive right to manage and operate approximately 6,200 tower sites (“CCI Lease Sites”) via a master prepaid lease with site lease terms ranging from 23 to 37 years (“2012 Tower Transaction”). CCI has fixed-price purchase options for the CCI Lease Sites totaling approximately $2.0 billion, exercisable at the end of the lease term. T-Mobile leases back a portion of the space at certain tower sites for an initial term of 10 years, followed by optional renewals at customary terms.</w:t>
      </w:r>
    </w:p>
    <w:p>
      <w:pPr>
        <w:spacing w:after="0" w:line="53"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Prior to the Merger,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Merger, at which point the remaining term of the lease-out was approximately 17 years with no renewal options. CCI has a fixed price purchase option for all (but not less than all) of the leased or subleased sites for approximately $2.3 billion, exercisable one year prior to the expiration of the agreement and ending 120 days prior to the expiration of the agreement. T-Mobile leases back a portion of the space at certain tower sites for an initial term of 10 years, followed by optional renewals at customary terms.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Merger closing date (April 1, 2020), T-Mobile recognized Property and equipment at a fair value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$2.8 billion and tower obligations related to amounts owed to CCI under the leaseback of $1.1 billion as the transfer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control criteria in the revenue standard for the tower assets was not met. Additionally, T-Mobile recognized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$1.7 billion in other long-term liabilities associated with contract terms that are unfavorable to current market rates,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which includes unfavorable terms associated with the fixed-price purchase option in 2037.</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Designated Letter of Credit Facilities</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 xml:space="preserve">In connection with the closing of the Transactions, T-Mobile USA designated obligations under certain letter of credit facilities as secured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obligations under the Notes and the Credit Agreement. As of December 31, 2020, there were approximately $0.2 billion in outstanding obligations under such facilities.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T-Mobile has factoring arrangements, as amended from time to time, to sell certain Equipment Installment Plan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(“EIP”) accounts receivable and service accounts receivable on a revolving basis as a source of additional liquidity.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2015, T-Mobile entered into the EIP sale arrangement, which is a revolving facility and currently has a maximum</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funding commitment of $1.3 billion and on November 2, 2020, T-Mobile extended the scheduled expiration date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November 18, 2021. As of December 31, 2020, the EIP sale arrangement provided funding of $1.3 billion. In 2014,</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T-Mobile entered into the service accounts receivable arrangement which is also a revolving facility and currently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has a maximum funding commitment of $950 million and on March 2, 2021, extended the scheduled expiration date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March 1, 2022. As of December 31, 2020, the service accounts receivable arrangement provided funding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$772 million. As of December 31, 2020, T-Mobile derecognized net receivables of $2.5 billion upon sale through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arrangements. These arrangements are not reflected on Parent’s consolidated balance sheet.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following summary describes the material U.S. federal income tax consequences of exchanging Original Notes for Exchange Notes in the exchange offer. It does not purport to be a complete analysis of all potential tax considerations relating to the exchange offer. This summary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possibly with retroactive effect, so as to result in U.S. federal income tax consequences different from those discussed below. We have not sought and will not seek any rulings from the IRS and there can be no assurance the IRS or a court will not take a contrary position regarding the matters discussed below. This summary is limited to beneficial owners who hold the Original Notes and the Exchange Notes as capital assets within the meaning of Section 1221 of the Code (generally, property held for investment). The effects of other U.S. federal tax laws, such as estate and gift tax laws, and any applicable state, local or foreign tax laws, are not discussed.</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 U.S. expatriates and former citizens or long-term residents of the United States, persons subject to the alternative minimum tax, U.S. persons whose functional currency is not the U.S. dollar, persons holding Original Notes or Exchange Notes as part of a hedge, straddle or other risk reduction strategy or as part of a conversion, constructive sale, wash sale or other integrated transaction, banks, insurance companies, and other financial institutions, real estate investment trusts or regulated investment companies, brokers, dealers or traders in securities or currencies, controlled foreign corporations, passive foreign investment companies, corporations that accumulate earnings to avoid U.S. federal income tax, U.S. persons that hold Original Notes or the Exchange Notes through non-U.S. brokers or other non-U.S. intermediaries, S corporations, partnerships or other entities or arrangements treated as partnerships for U.S. federal income tax purposes (and investors therein), tax-exempt entities, retirement plans, individual retirement accounts, tax-deferred accounts, and governmental organizations and holders who are subject to special accounting rules (including rules requiring them to recognize income with respect to Original Notes or Exchange Notes no later than when such income is taken into account in an applicable financial statement).</w:t>
      </w:r>
    </w:p>
    <w:p>
      <w:pPr>
        <w:spacing w:after="0" w:line="59"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If an entity or arrangement treated as a partnership for U.S. federal income tax purposes holds Original Notes or Exchange Notes, the U.S. federal income tax treatment of a partner in the partnership generally will depend on the status of the partner, the activities of the partnership and certain determinations made at the partner level. Accordingly, entities or arrangements classified as partnerships for U.S. federal income tax holding Original Notes or Exchange Notes and the partners in such partnerships should consult their tax advisors regarding the U.S. federal income tax consequences to them of the exchange offer.</w:t>
      </w:r>
    </w:p>
    <w:p>
      <w:pPr>
        <w:spacing w:after="0" w:line="70"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An exchange of Original Notes for Exchange Notes will not be a taxable event for U.S. federal income tax purposes. Accordingly, a beneficial owner of an Original Note will not recognize any gain or loss upon the receipt of an Exchange Note pursuant to the exchange offer, will be required to include interest on the Exchange Note in income in the same manner and to the same extent as on the Original Note and will have the same tax basis and holding period in the Exchange Note immediately after the exchange as its tax basis and holding period in the Original Note exchanged therefor.</w:t>
      </w:r>
    </w:p>
    <w:p>
      <w:pPr>
        <w:spacing w:after="0" w:line="80" w:lineRule="exact"/>
        <w:rPr>
          <w:sz w:val="20"/>
          <w:szCs w:val="20"/>
          <w:color w:val="auto"/>
        </w:rPr>
      </w:pPr>
    </w:p>
    <w:p>
      <w:pPr>
        <w:ind w:left="300" w:right="379" w:firstLine="360"/>
        <w:spacing w:after="0" w:line="261" w:lineRule="auto"/>
        <w:rPr>
          <w:sz w:val="20"/>
          <w:szCs w:val="20"/>
          <w:color w:val="auto"/>
        </w:rPr>
      </w:pPr>
      <w:r>
        <w:rPr>
          <w:rFonts w:ascii="Arial" w:cs="Arial" w:eastAsia="Arial" w:hAnsi="Arial"/>
          <w:sz w:val="18"/>
          <w:szCs w:val="18"/>
          <w:b w:val="1"/>
          <w:bCs w:val="1"/>
          <w:color w:val="auto"/>
        </w:rPr>
        <w:t>THIS DISCUSSION IS FOR INFORMATION PURPOSES ONLY AND IS NOT TAX ADVICE. EACH INVESTOR SHOULD CONSULT ITS TAX ADVISOR WITH RESPECT TO THE SPECIFIC</w:t>
      </w:r>
    </w:p>
    <w:p>
      <w:pPr>
        <w:ind w:left="300" w:right="479"/>
        <w:spacing w:after="0" w:line="255" w:lineRule="auto"/>
        <w:rPr>
          <w:sz w:val="20"/>
          <w:szCs w:val="20"/>
          <w:color w:val="auto"/>
        </w:rPr>
      </w:pPr>
      <w:r>
        <w:rPr>
          <w:rFonts w:ascii="Arial" w:cs="Arial" w:eastAsia="Arial" w:hAnsi="Arial"/>
          <w:sz w:val="18"/>
          <w:szCs w:val="18"/>
          <w:b w:val="1"/>
          <w:bCs w:val="1"/>
          <w:color w:val="auto"/>
        </w:rPr>
        <w:t>U.S. FEDERAL INCOME TAX CONSEQUENCES OF THE EXCHANGE OFFER IN ITS PARTICULAR SITUATIONS AS WELL AS ANY TAX CONSEQUENCE ARISING UNDER OTHER U.S. FEDERAL, STATE, LOCAL OR NON-U.S. TAX LAWS.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Arial" w:cs="Arial" w:eastAsia="Arial" w:hAnsi="Arial"/>
          <w:sz w:val="17"/>
          <w:szCs w:val="17"/>
          <w:color w:val="auto"/>
        </w:rPr>
        <w:t xml:space="preserve">Based on interpretations of the staff of the SEC, as described in no-action letters issued to third parties that are not related to us, we believe that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broker-dealers receiving Exchange Notes in the exchange offer will have a prospectus delivery requirement with respect to resales of such Exchange Notes as further discussed below. We also believe that such broker-dealers may fulfill their prospectus delivery requirements with respect to Exchange Notes (other than a resale of an unsold allotment from the sale of the Original Notes) with this prospectus. 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w:t>
      </w:r>
    </w:p>
    <w:p>
      <w:pPr>
        <w:spacing w:after="0" w:line="72" w:lineRule="exact"/>
        <w:rPr>
          <w:sz w:val="20"/>
          <w:szCs w:val="20"/>
          <w:color w:val="auto"/>
        </w:rPr>
      </w:pPr>
    </w:p>
    <w:p>
      <w:pPr>
        <w:ind w:left="300" w:right="439" w:firstLine="360"/>
        <w:spacing w:after="0" w:line="261" w:lineRule="auto"/>
        <w:rPr>
          <w:sz w:val="20"/>
          <w:szCs w:val="20"/>
          <w:color w:val="auto"/>
        </w:rPr>
      </w:pPr>
      <w:r>
        <w:rPr>
          <w:rFonts w:ascii="Arial" w:cs="Arial" w:eastAsia="Arial" w:hAnsi="Arial"/>
          <w:sz w:val="18"/>
          <w:szCs w:val="18"/>
          <w:color w:val="auto"/>
        </w:rPr>
        <w:t>We believe that you may not transfer Exchange Notes issued in the exchange offer without further compliance with such requirements or an exemption from such requirements if you are:</w:t>
      </w:r>
    </w:p>
    <w:p>
      <w:pPr>
        <w:spacing w:after="0" w:line="63" w:lineRule="exact"/>
        <w:rPr>
          <w:sz w:val="20"/>
          <w:szCs w:val="20"/>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affiliate within the meaning of Rule 405 under the Securities Act;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broker-dealer that acquired Original Notes as a result of market-making or other trading activities.</w:t>
      </w:r>
    </w:p>
    <w:p>
      <w:pPr>
        <w:spacing w:after="0" w:line="129" w:lineRule="exact"/>
        <w:rPr>
          <w:sz w:val="20"/>
          <w:szCs w:val="20"/>
          <w:color w:val="auto"/>
        </w:rPr>
      </w:pPr>
    </w:p>
    <w:p>
      <w:pPr>
        <w:jc w:val="both"/>
        <w:ind w:left="300" w:right="739" w:firstLine="360"/>
        <w:spacing w:after="0" w:line="248" w:lineRule="auto"/>
        <w:rPr>
          <w:sz w:val="20"/>
          <w:szCs w:val="20"/>
          <w:color w:val="auto"/>
        </w:rPr>
      </w:pPr>
      <w:r>
        <w:rPr>
          <w:rFonts w:ascii="Arial" w:cs="Arial" w:eastAsia="Arial" w:hAnsi="Arial"/>
          <w:sz w:val="18"/>
          <w:szCs w:val="18"/>
          <w:color w:val="auto"/>
        </w:rPr>
        <w:t>The information described above concerning interpretations of and positions taken by the SEC staff is not intended to constitute legal advice. Broker-dealers should consult their own legal advisors with respect to these matters.</w:t>
      </w:r>
    </w:p>
    <w:p>
      <w:pPr>
        <w:spacing w:after="0" w:line="74" w:lineRule="exact"/>
        <w:rPr>
          <w:sz w:val="20"/>
          <w:szCs w:val="20"/>
          <w:color w:val="auto"/>
        </w:rPr>
      </w:pPr>
    </w:p>
    <w:p>
      <w:pPr>
        <w:ind w:left="300" w:right="399" w:firstLine="360"/>
        <w:spacing w:after="0" w:line="248" w:lineRule="auto"/>
        <w:rPr>
          <w:sz w:val="20"/>
          <w:szCs w:val="20"/>
          <w:color w:val="auto"/>
        </w:rPr>
      </w:pPr>
      <w:r>
        <w:rPr>
          <w:rFonts w:ascii="Arial" w:cs="Arial" w:eastAsia="Arial" w:hAnsi="Arial"/>
          <w:sz w:val="18"/>
          <w:szCs w:val="18"/>
          <w:color w:val="auto"/>
        </w:rPr>
        <w:t>If you wish to exchange your Original Notes for Exchange Notes in the exchange offer, you will be required to make representations to us as described in “The Exchange Offer—Procedures for Tendering” and “— Your Representations to Us” of this prospectus and in the letter of transmittal.</w:t>
      </w:r>
    </w:p>
    <w:p>
      <w:pPr>
        <w:spacing w:after="0" w:line="60"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or other trading activities. We have agreed that, for a period of 90 days following the effective date of the registration statement of which this prospectus forms a part, we will make this prospectus, as amended or supplemented, available to any broker-dealer for use in connection with any such resale. Further, for a period of 180 days following the effective date of the registration statement of which this prospectus forms a part, we will promptly send additional copies of this prospectus and any amendment or supplement to this prospectus to any broker-dealer that requests such documents in the letter of transmittal. Until (and including) July 22, 2021, all dealers effecting transactions in the Exchange Notes may be required to deliver a prospectus.</w:t>
      </w:r>
    </w:p>
    <w:p>
      <w:pPr>
        <w:spacing w:after="0" w:line="77"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6"/>
          <w:szCs w:val="16"/>
          <w:color w:val="auto"/>
        </w:rPr>
        <w:t>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64" w:lineRule="exact"/>
        <w:rPr>
          <w:sz w:val="20"/>
          <w:szCs w:val="20"/>
          <w:color w:val="auto"/>
        </w:rPr>
      </w:pPr>
    </w:p>
    <w:p>
      <w:pPr>
        <w:ind w:left="300" w:right="499" w:firstLine="360"/>
        <w:spacing w:after="0" w:line="235" w:lineRule="auto"/>
        <w:rPr>
          <w:sz w:val="20"/>
          <w:szCs w:val="20"/>
          <w:color w:val="auto"/>
        </w:rPr>
      </w:pPr>
      <w:r>
        <w:rPr>
          <w:rFonts w:ascii="Arial" w:cs="Arial" w:eastAsia="Arial" w:hAnsi="Arial"/>
          <w:sz w:val="18"/>
          <w:szCs w:val="18"/>
          <w:color w:val="auto"/>
        </w:rPr>
        <w:t>We have agreed to pay expenses incident to the exchange offer other than commissions or concessions of any brokers or dealers and will indemnify the holders of the Original Notes (including any broker-dealers) against certain liabilities, including liabilities under the Securities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and you should not consider it a part of this prospectus (except for our SEC reports expressly incorporated by reference herein).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(other than information deemed furnished and not filed in accordance with SEC rules, including Items 2.02 and 7.01 of Form 8-K):</w:t>
      </w:r>
    </w:p>
    <w:p>
      <w:pPr>
        <w:spacing w:after="0" w:line="69" w:lineRule="exact"/>
        <w:rPr>
          <w:sz w:val="20"/>
          <w:szCs w:val="20"/>
          <w:color w:val="auto"/>
        </w:rPr>
      </w:pPr>
    </w:p>
    <w:p>
      <w:pPr>
        <w:ind w:left="1000" w:right="519" w:hanging="348"/>
        <w:spacing w:after="0" w:line="286" w:lineRule="auto"/>
        <w:tabs>
          <w:tab w:leader="none" w:pos="1000" w:val="left"/>
        </w:tabs>
        <w:numPr>
          <w:ilvl w:val="0"/>
          <w:numId w:val="118"/>
        </w:numPr>
        <w:rPr>
          <w:rFonts w:ascii="Arial" w:cs="Arial" w:eastAsia="Arial" w:hAnsi="Arial"/>
          <w:sz w:val="17"/>
          <w:szCs w:val="17"/>
          <w:color w:val="000000"/>
        </w:rPr>
      </w:pPr>
      <w:r>
        <w:rPr>
          <w:rFonts w:ascii="Arial" w:cs="Arial" w:eastAsia="Arial" w:hAnsi="Arial"/>
          <w:sz w:val="17"/>
          <w:szCs w:val="17"/>
          <w:color w:val="auto"/>
        </w:rPr>
        <w:t xml:space="preserve">Parent’s Annual Report on Form 10-K for the year ended December 31, 2020 filed with the SEC on </w:t>
      </w:r>
      <w:hyperlink r:id="rId198">
        <w:r>
          <w:rPr>
            <w:rFonts w:ascii="Arial" w:cs="Arial" w:eastAsia="Arial" w:hAnsi="Arial"/>
            <w:sz w:val="17"/>
            <w:szCs w:val="17"/>
            <w:u w:val="single" w:color="auto"/>
            <w:color w:val="0000EE"/>
          </w:rPr>
          <w:t>February 23,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including those portions of Parent’s Proxy Statement on Schedule 14A filed with the</w:t>
      </w:r>
      <w:r>
        <w:rPr>
          <w:rFonts w:ascii="Arial" w:cs="Arial" w:eastAsia="Arial" w:hAnsi="Arial"/>
          <w:sz w:val="17"/>
          <w:szCs w:val="17"/>
          <w:color w:val="0000EE"/>
        </w:rPr>
        <w:t xml:space="preserve"> </w:t>
      </w:r>
      <w:r>
        <w:rPr>
          <w:rFonts w:ascii="Arial" w:cs="Arial" w:eastAsia="Arial" w:hAnsi="Arial"/>
          <w:sz w:val="17"/>
          <w:szCs w:val="17"/>
          <w:color w:val="000000"/>
        </w:rPr>
        <w:t xml:space="preserve">SEC on </w:t>
      </w:r>
      <w:hyperlink r:id="rId199">
        <w:r>
          <w:rPr>
            <w:rFonts w:ascii="Arial" w:cs="Arial" w:eastAsia="Arial" w:hAnsi="Arial"/>
            <w:sz w:val="17"/>
            <w:szCs w:val="17"/>
            <w:u w:val="single" w:color="auto"/>
            <w:color w:val="0000EE"/>
          </w:rPr>
          <w:t>April 21, 2021</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that are incorporated by reference in such Annual Report; and</w:t>
      </w:r>
    </w:p>
    <w:p>
      <w:pPr>
        <w:spacing w:after="0" w:line="57" w:lineRule="exact"/>
        <w:rPr>
          <w:rFonts w:ascii="Arial" w:cs="Arial" w:eastAsia="Arial" w:hAnsi="Arial"/>
          <w:sz w:val="17"/>
          <w:szCs w:val="17"/>
          <w:color w:val="000000"/>
        </w:rPr>
      </w:pPr>
    </w:p>
    <w:p>
      <w:pPr>
        <w:ind w:left="1000" w:right="439" w:hanging="348"/>
        <w:spacing w:after="0" w:line="277" w:lineRule="auto"/>
        <w:tabs>
          <w:tab w:leader="none" w:pos="1000" w:val="left"/>
        </w:tabs>
        <w:numPr>
          <w:ilvl w:val="0"/>
          <w:numId w:val="118"/>
        </w:numPr>
        <w:rPr>
          <w:rFonts w:ascii="Arial" w:cs="Arial" w:eastAsia="Arial" w:hAnsi="Arial"/>
          <w:sz w:val="18"/>
          <w:szCs w:val="18"/>
          <w:color w:val="0000EE"/>
        </w:rPr>
      </w:pPr>
      <w:hyperlink r:id="rId200">
        <w:r>
          <w:rPr>
            <w:rFonts w:ascii="Arial" w:cs="Arial" w:eastAsia="Arial" w:hAnsi="Arial"/>
            <w:sz w:val="18"/>
            <w:szCs w:val="18"/>
            <w:color w:val="auto"/>
          </w:rPr>
          <w:t xml:space="preserve">Parent’s Current Reports on Form 8-K filed with the SEC on </w:t>
        </w:r>
        <w:r>
          <w:rPr>
            <w:rFonts w:ascii="Arial" w:cs="Arial" w:eastAsia="Arial" w:hAnsi="Arial"/>
            <w:sz w:val="18"/>
            <w:szCs w:val="18"/>
            <w:u w:val="single" w:color="auto"/>
            <w:color w:val="0000EE"/>
          </w:rPr>
          <w:t>May 18,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1">
        <w:r>
          <w:rPr>
            <w:rFonts w:ascii="Arial" w:cs="Arial" w:eastAsia="Arial" w:hAnsi="Arial"/>
            <w:sz w:val="18"/>
            <w:szCs w:val="18"/>
            <w:u w:val="single" w:color="auto"/>
            <w:color w:val="0000EE"/>
          </w:rPr>
          <w:t>March 10, 2021</w:t>
        </w:r>
      </w:hyperlink>
      <w:hyperlink r:id="rId20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2">
        <w:r>
          <w:rPr>
            <w:rFonts w:ascii="Arial" w:cs="Arial" w:eastAsia="Arial" w:hAnsi="Arial"/>
            <w:sz w:val="18"/>
            <w:szCs w:val="18"/>
            <w:u w:val="single" w:color="auto"/>
            <w:color w:val="0000EE"/>
          </w:rPr>
          <w:t>March 16, 2021</w:t>
        </w:r>
      </w:hyperlink>
      <w:hyperlink r:id="rId20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3">
        <w:r>
          <w:rPr>
            <w:rFonts w:ascii="Arial" w:cs="Arial" w:eastAsia="Arial" w:hAnsi="Arial"/>
            <w:sz w:val="18"/>
            <w:szCs w:val="18"/>
            <w:u w:val="single" w:color="auto"/>
            <w:color w:val="0000EE"/>
          </w:rPr>
          <w:t xml:space="preserve">March 23, 2021 </w:t>
        </w:r>
      </w:hyperlink>
      <w:hyperlink r:id="rId20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04">
        <w:r>
          <w:rPr>
            <w:rFonts w:ascii="Arial" w:cs="Arial" w:eastAsia="Arial" w:hAnsi="Arial"/>
            <w:sz w:val="18"/>
            <w:szCs w:val="18"/>
            <w:u w:val="single" w:color="auto"/>
            <w:color w:val="0000EE"/>
          </w:rPr>
          <w:t>April 12, 2021</w:t>
        </w:r>
      </w:hyperlink>
      <w:hyperlink r:id="rId200">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300" w:right="49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53" w:lineRule="exact"/>
        <w:rPr>
          <w:rFonts w:ascii="Arial" w:cs="Arial" w:eastAsia="Arial" w:hAnsi="Arial"/>
          <w:sz w:val="18"/>
          <w:szCs w:val="18"/>
          <w:color w:val="0000EE"/>
        </w:rPr>
      </w:pPr>
    </w:p>
    <w:p>
      <w:pPr>
        <w:ind w:left="300" w:right="799" w:firstLine="360"/>
        <w:spacing w:after="0" w:line="342" w:lineRule="auto"/>
        <w:rPr>
          <w:sz w:val="20"/>
          <w:szCs w:val="20"/>
          <w:color w:val="auto"/>
        </w:rPr>
      </w:pPr>
      <w:r>
        <w:rPr>
          <w:rFonts w:ascii="Arial" w:cs="Arial" w:eastAsia="Arial" w:hAnsi="Arial"/>
          <w:sz w:val="16"/>
          <w:szCs w:val="16"/>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56"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David A. Miller</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T-Mobile US, Inc.</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12920 SE 38th Street</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Bellevue, Washington 98006</w:t>
      </w:r>
    </w:p>
    <w:p>
      <w:pPr>
        <w:spacing w:after="0" w:line="9" w:lineRule="exact"/>
        <w:rPr>
          <w:rFonts w:ascii="Arial" w:cs="Arial" w:eastAsia="Arial" w:hAnsi="Arial"/>
          <w:sz w:val="18"/>
          <w:szCs w:val="18"/>
          <w:color w:val="0000EE"/>
        </w:rPr>
      </w:pPr>
    </w:p>
    <w:p>
      <w:pPr>
        <w:ind w:left="4380" w:hanging="438"/>
        <w:spacing w:after="0"/>
        <w:tabs>
          <w:tab w:leader="none" w:pos="4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383-4000</w:t>
      </w:r>
    </w:p>
    <w:p>
      <w:pPr>
        <w:spacing w:after="0" w:line="210"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Certain legal matters regarding the validity of the Exchange Notes will be passed upon by Fried, Frank, Harris, Shriver &amp; Jacobson LLP, New York, New York. Certain matters pertaining to the laws of Georgia, Kansas, Nevada, Texas and Virginia will be passed upon for us by Polsinelli PC. Certain matters pertaining to the laws of New Hampshire will be passed upon for us by McLane Middleton Professional Association.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 which contains an explanatory paragraph on the effectiveness of internal control over financial reporting due to the exclusion of certain elements of the internal control over financial reporting of the Sprint business T-Mobile acquired during 2020.</w:t>
      </w:r>
    </w:p>
    <w:p>
      <w:pPr>
        <w:spacing w:after="0" w:line="84"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consolidated financial statements of Sprint and subsidiaries incorporated in this prospectus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Leases (Topic 842), and an emphasis of matter paragraph relating to the acquisition of Sprint by T-Mobile US on April 1, 2020) incorporated by reference herein. Such consolidated financial statements have been so incorporated in reliance upon the report of such firm given upon their authority as experts in accounting and auditing.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03504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1078230</wp:posOffset>
            </wp:positionV>
            <wp:extent cx="1920240" cy="403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1920240" cy="403225"/>
                    </a:xfrm>
                    <a:prstGeom prst="rect">
                      <a:avLst/>
                    </a:prstGeom>
                    <a:noFill/>
                  </pic:spPr>
                </pic:pic>
              </a:graphicData>
            </a:graphic>
          </wp:anchor>
        </w:drawing>
      </w:r>
    </w:p>
    <w:p>
      <w:pPr>
        <w:sectPr>
          <w:pgSz w:w="11900" w:h="16838" w:orient="portrait"/>
          <w:cols w:equalWidth="0" w:num="1">
            <w:col w:w="9460"/>
          </w:cols>
          <w:pgMar w:left="1200" w:top="265"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T-Mobile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ITS</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3.750% Senior Secured Notes due 2027, 2.050% Senior Secured Notes due 2028,</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3.875% Senior Secured Notes due 2030, 2.550% Senior Secured Notes due 2031,</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2.250% Senior Secured Notes due 2031, 4.375% Senior Secured Notes due 2040,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3.000% Senior Secured Notes due 2041, 4.500% Senior Secured Notes due 2050,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3.300% Senior Secured Notes due 2051 and 3.600% Senior Secured Notes due 2060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AN EQUAL AMOUNT OF ITS OUTSTANDING</w:t>
      </w:r>
    </w:p>
    <w:p>
      <w:pPr>
        <w:spacing w:after="0" w:line="225" w:lineRule="exact"/>
        <w:rPr>
          <w:sz w:val="20"/>
          <w:szCs w:val="20"/>
          <w:color w:val="auto"/>
        </w:rPr>
      </w:pPr>
    </w:p>
    <w:p>
      <w:pPr>
        <w:jc w:val="center"/>
        <w:ind w:left="700" w:right="720"/>
        <w:spacing w:after="0" w:line="255" w:lineRule="auto"/>
        <w:rPr>
          <w:sz w:val="20"/>
          <w:szCs w:val="20"/>
          <w:color w:val="auto"/>
        </w:rPr>
      </w:pPr>
      <w:r>
        <w:rPr>
          <w:rFonts w:ascii="Arial" w:cs="Arial" w:eastAsia="Arial" w:hAnsi="Arial"/>
          <w:sz w:val="18"/>
          <w:szCs w:val="18"/>
          <w:b w:val="1"/>
          <w:bCs w:val="1"/>
          <w:color w:val="auto"/>
        </w:rPr>
        <w:t>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as applicable, that were issued and sold in transactions exempt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285750</wp:posOffset>
            </wp:positionV>
            <wp:extent cx="1097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180340</wp:posOffset>
            </wp:positionV>
            <wp:extent cx="10972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23, 2021</w:t>
      </w:r>
    </w:p>
    <w:p>
      <w:pPr>
        <w:sectPr>
          <w:pgSz w:w="11900" w:h="16838" w:orient="portrait"/>
          <w:cols w:equalWidth="0" w:num="1">
            <w:col w:w="9460"/>
          </w:cols>
          <w:pgMar w:left="1200" w:top="265"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Until July 22, 2021, all dealers that effect transactions in these securities, whether or not participating in the exchange 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60350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603504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sectPr>
      <w:pgSz w:w="11900" w:h="16838" w:orient="portrait"/>
      <w:cols w:equalWidth="0" w:num="1">
        <w:col w:w="9460"/>
      </w:cols>
      <w:pgMar w:left="1200" w:top="265" w:right="1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425"/>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1)"/>
      <w:numFmt w:val="decimal"/>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lvl w:ilvl="1">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decimal"/>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1)"/>
      <w:numFmt w:val="upperLetter"/>
      <w:start w:val="24"/>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1)"/>
      <w:numFmt w:val="lowerRoman"/>
      <w:start w:val="2"/>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2"/>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1)"/>
      <w:numFmt w:val="decimal"/>
      <w:start w:val="5"/>
    </w:lvl>
  </w:abstractNum>
  <w:abstractNum w:abstractNumId="50">
    <w:nsid w:val="6EB5BD4"/>
    <w:multiLevelType w:val="hybridMultilevel"/>
    <w:lvl w:ilvl="0">
      <w:lvlJc w:val="left"/>
      <w:lvlText w:val="(%1)"/>
      <w:numFmt w:val="decimal"/>
      <w:start w:val="15"/>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lowerRoman"/>
      <w:start w:val="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1"/>
    </w:lvl>
    <w:lvl w:ilvl="1">
      <w:lvlJc w:val="left"/>
      <w:lvlText w:val="(%2)"/>
      <w:numFmt w:val="lowerLetter"/>
      <w:start w:val="1"/>
    </w:lvl>
  </w:abstractNum>
  <w:abstractNum w:abstractNumId="57">
    <w:nsid w:val="14E17E33"/>
    <w:multiLevelType w:val="hybridMultilevel"/>
    <w:lvl w:ilvl="0">
      <w:lvlJc w:val="left"/>
      <w:lvlText w:val="(%1)"/>
      <w:numFmt w:val="decimal"/>
      <w:start w:val="6"/>
    </w:lvl>
    <w:lvl w:ilvl="1">
      <w:lvlJc w:val="left"/>
      <w:lvlText w:val="(%2)"/>
      <w:numFmt w:val="lowerLetter"/>
      <w:start w:val="1"/>
    </w:lvl>
  </w:abstractNum>
  <w:abstractNum w:abstractNumId="58">
    <w:nsid w:val="3222E7CD"/>
    <w:multiLevelType w:val="hybridMultilevel"/>
    <w:lvl w:ilvl="0">
      <w:lvlJc w:val="left"/>
      <w:lvlText w:val="(%1)"/>
      <w:numFmt w:val="lowerLetter"/>
      <w:start w:val="2"/>
    </w:lvl>
  </w:abstractNum>
  <w:abstractNum w:abstractNumId="59">
    <w:nsid w:val="74DE0EE3"/>
    <w:multiLevelType w:val="hybridMultilevel"/>
    <w:lvl w:ilvl="0">
      <w:lvlJc w:val="left"/>
      <w:lvlText w:val="(%1)"/>
      <w:numFmt w:val="decimal"/>
      <w:start w:val="1"/>
    </w:lvl>
  </w:abstractNum>
  <w:abstractNum w:abstractNumId="60">
    <w:nsid w:val="68EBC550"/>
    <w:multiLevelType w:val="hybridMultilevel"/>
    <w:lvl w:ilvl="0">
      <w:lvlJc w:val="left"/>
      <w:lvlText w:val="(%1)"/>
      <w:numFmt w:val="decimal"/>
      <w:start w:val="1"/>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1)"/>
      <w:numFmt w:val="decimal"/>
      <w:start w:val="3"/>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5"/>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11"/>
    </w:lvl>
  </w:abstractNum>
  <w:abstractNum w:abstractNumId="67">
    <w:nsid w:val="43F18422"/>
    <w:multiLevelType w:val="hybridMultilevel"/>
    <w:lvl w:ilvl="0">
      <w:lvlJc w:val="left"/>
      <w:lvlText w:val="(%1)"/>
      <w:numFmt w:val="decimal"/>
      <w:start w:val="1"/>
    </w:lvl>
    <w:lvl w:ilvl="1">
      <w:lvlJc w:val="left"/>
      <w:lvlText w:val="(%2)"/>
      <w:numFmt w:val="lowerLetter"/>
      <w:start w:val="1"/>
    </w:lvl>
  </w:abstractNum>
  <w:abstractNum w:abstractNumId="68">
    <w:nsid w:val="60EF0119"/>
    <w:multiLevelType w:val="hybridMultilevel"/>
    <w:lvl w:ilvl="0">
      <w:lvlJc w:val="left"/>
      <w:lvlText w:val="(%1)"/>
      <w:numFmt w:val="decimal"/>
      <w:start w:val="2"/>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10"/>
    </w:lvl>
  </w:abstractNum>
  <w:abstractNum w:abstractNumId="73">
    <w:nsid w:val="5FB8370B"/>
    <w:multiLevelType w:val="hybridMultilevel"/>
    <w:lvl w:ilvl="0">
      <w:lvlJc w:val="left"/>
      <w:lvlText w:val="(%1)"/>
      <w:numFmt w:val="decimal"/>
      <w:start w:val="1"/>
    </w:lvl>
  </w:abstractNum>
  <w:abstractNum w:abstractNumId="74">
    <w:nsid w:val="50801EE1"/>
    <w:multiLevelType w:val="hybridMultilevel"/>
    <w:lvl w:ilvl="0">
      <w:lvlJc w:val="left"/>
      <w:lvlText w:val="(%1)"/>
      <w:numFmt w:val="lowerRoman"/>
      <w:start w:val="2"/>
    </w:lvl>
  </w:abstractNum>
  <w:abstractNum w:abstractNumId="75">
    <w:nsid w:val="488AC1A"/>
    <w:multiLevelType w:val="hybridMultilevel"/>
    <w:lvl w:ilvl="0">
      <w:lvlJc w:val="left"/>
      <w:lvlText w:val="(%1)"/>
      <w:numFmt w:val="decimal"/>
      <w:start w:val="1"/>
    </w:lvl>
    <w:lvl w:ilvl="1">
      <w:lvlJc w:val="left"/>
      <w:lvlText w:val="(%2)"/>
      <w:numFmt w:val="lowerLetter"/>
      <w:start w:val="25"/>
    </w:lvl>
  </w:abstractNum>
  <w:abstractNum w:abstractNumId="76">
    <w:nsid w:val="5FB8011C"/>
    <w:multiLevelType w:val="hybridMultilevel"/>
    <w:lvl w:ilvl="0">
      <w:lvlJc w:val="left"/>
      <w:lvlText w:val="(%1)"/>
      <w:numFmt w:val="decimal"/>
      <w:start w:val="8"/>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2"/>
    </w:lvl>
  </w:abstractNum>
  <w:abstractNum w:abstractNumId="79">
    <w:nsid w:val="6FC75AF8"/>
    <w:multiLevelType w:val="hybridMultilevel"/>
    <w:lvl w:ilvl="0">
      <w:lvlJc w:val="left"/>
      <w:lvlText w:val="(%1)"/>
      <w:numFmt w:val="decimal"/>
      <w:start w:val="1"/>
    </w:lvl>
  </w:abstractNum>
  <w:abstractNum w:abstractNumId="80">
    <w:nsid w:val="6A5F7029"/>
    <w:multiLevelType w:val="hybridMultilevel"/>
    <w:lvl w:ilvl="0">
      <w:lvlJc w:val="left"/>
      <w:lvlText w:val="(%1)"/>
      <w:numFmt w:val="decimal"/>
      <w:start w:val="8"/>
    </w:lvl>
  </w:abstractNum>
  <w:abstractNum w:abstractNumId="81">
    <w:nsid w:val="7D5E18F8"/>
    <w:multiLevelType w:val="hybridMultilevel"/>
    <w:lvl w:ilvl="0">
      <w:lvlJc w:val="left"/>
      <w:lvlText w:val="(%1)"/>
      <w:numFmt w:val="lowerRoman"/>
      <w:start w:val="13"/>
    </w:lvl>
  </w:abstractNum>
  <w:abstractNum w:abstractNumId="82">
    <w:nsid w:val="5F3534A4"/>
    <w:multiLevelType w:val="hybridMultilevel"/>
    <w:lvl w:ilvl="0">
      <w:lvlJc w:val="left"/>
      <w:lvlText w:val="(%1)"/>
      <w:numFmt w:val="lowerRoman"/>
      <w:start w:val="15"/>
    </w:lvl>
  </w:abstractNum>
  <w:abstractNum w:abstractNumId="83">
    <w:nsid w:val="73A1821B"/>
    <w:multiLevelType w:val="hybridMultilevel"/>
    <w:lvl w:ilvl="0">
      <w:lvlJc w:val="left"/>
      <w:lvlText w:val="(%1)"/>
      <w:numFmt w:val="lowerLetter"/>
      <w:start w:val="1"/>
    </w:lvl>
  </w:abstractNum>
  <w:abstractNum w:abstractNumId="84">
    <w:nsid w:val="7DE67713"/>
    <w:multiLevelType w:val="hybridMultilevel"/>
    <w:lvl w:ilvl="0">
      <w:lvlJc w:val="left"/>
      <w:lvlText w:val="(%1)"/>
      <w:numFmt w:val="lowerLetter"/>
      <w:start w:val="2"/>
    </w:lvl>
  </w:abstractNum>
  <w:abstractNum w:abstractNumId="85">
    <w:nsid w:val="555C55B5"/>
    <w:multiLevelType w:val="hybridMultilevel"/>
    <w:lvl w:ilvl="0">
      <w:lvlJc w:val="left"/>
      <w:lvlText w:val="(%1)"/>
      <w:numFmt w:val="lowerLetter"/>
      <w:start w:val="3"/>
    </w:lvl>
  </w:abstractNum>
  <w:abstractNum w:abstractNumId="86">
    <w:nsid w:val="3FA62ACA"/>
    <w:multiLevelType w:val="hybridMultilevel"/>
    <w:lvl w:ilvl="0">
      <w:lvlJc w:val="left"/>
      <w:lvlText w:val="(%1)"/>
      <w:numFmt w:val="decimal"/>
      <w:start w:val="1"/>
    </w:lvl>
  </w:abstractNum>
  <w:abstractNum w:abstractNumId="87">
    <w:nsid w:val="14FCE74E"/>
    <w:multiLevelType w:val="hybridMultilevel"/>
    <w:lvl w:ilvl="0">
      <w:lvlJc w:val="left"/>
      <w:lvlText w:val="(%1)"/>
      <w:numFmt w:val="decimal"/>
      <w:start w:val="3"/>
    </w:lvl>
  </w:abstractNum>
  <w:abstractNum w:abstractNumId="88">
    <w:nsid w:val="6A3DD3E8"/>
    <w:multiLevelType w:val="hybridMultilevel"/>
    <w:lvl w:ilvl="0">
      <w:lvlJc w:val="left"/>
      <w:lvlText w:val="(%1)"/>
      <w:numFmt w:val="lowerLetter"/>
      <w:start w:val="1"/>
    </w:lvl>
    <w:lvl w:ilvl="1">
      <w:lvlJc w:val="left"/>
      <w:lvlText w:val="(%2)"/>
      <w:numFmt w:val="decimal"/>
      <w:start w:val="1"/>
    </w:lvl>
  </w:abstractNum>
  <w:abstractNum w:abstractNumId="89">
    <w:nsid w:val="71C91298"/>
    <w:multiLevelType w:val="hybridMultilevel"/>
    <w:lvl w:ilvl="0">
      <w:lvlJc w:val="left"/>
      <w:lvlText w:val="(%1)"/>
      <w:numFmt w:val="lowerLetter"/>
      <w:start w:val="1"/>
    </w:lvl>
    <w:lvl w:ilvl="1">
      <w:lvlJc w:val="left"/>
      <w:lvlText w:val="(%2)"/>
      <w:numFmt w:val="lowerRoman"/>
      <w:start w:val="1"/>
    </w:lvl>
  </w:abstractNum>
  <w:abstractNum w:abstractNumId="90">
    <w:nsid w:val="9DAF632"/>
    <w:multiLevelType w:val="hybridMultilevel"/>
    <w:lvl w:ilvl="0">
      <w:lvlJc w:val="left"/>
      <w:lvlText w:val="(%1)"/>
      <w:numFmt w:val="lowerRoman"/>
      <w:start w:val="2"/>
    </w:lvl>
  </w:abstractNum>
  <w:abstractNum w:abstractNumId="91">
    <w:nsid w:val="53299938"/>
    <w:multiLevelType w:val="hybridMultilevel"/>
    <w:lvl w:ilvl="0">
      <w:lvlJc w:val="left"/>
      <w:lvlText w:val="(%1)"/>
      <w:numFmt w:val="decimal"/>
      <w:start w:val="1"/>
    </w:lvl>
  </w:abstractNum>
  <w:abstractNum w:abstractNumId="92">
    <w:nsid w:val="1FBFE8E0"/>
    <w:multiLevelType w:val="hybridMultilevel"/>
    <w:lvl w:ilvl="0">
      <w:lvlJc w:val="left"/>
      <w:lvlText w:val="(%1)"/>
      <w:numFmt w:val="decimal"/>
      <w:start w:val="1"/>
    </w:lvl>
  </w:abstractNum>
  <w:abstractNum w:abstractNumId="93">
    <w:nsid w:val="5092CA79"/>
    <w:multiLevelType w:val="hybridMultilevel"/>
    <w:lvl w:ilvl="0">
      <w:lvlJc w:val="left"/>
      <w:lvlText w:val="(%1)"/>
      <w:numFmt w:val="decimal"/>
      <w:start w:val="1"/>
    </w:lvl>
    <w:lvl w:ilvl="1">
      <w:lvlJc w:val="left"/>
      <w:lvlText w:val="(%2)"/>
      <w:numFmt w:val="lowerLetter"/>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1)"/>
      <w:numFmt w:val="lowerRoman"/>
      <w:start w:val="10"/>
    </w:lvl>
  </w:abstractNum>
  <w:abstractNum w:abstractNumId="96">
    <w:nsid w:val="288F1A34"/>
    <w:multiLevelType w:val="hybridMultilevel"/>
    <w:lvl w:ilvl="0">
      <w:lvlJc w:val="left"/>
      <w:lvlText w:val="(%1)"/>
      <w:numFmt w:val="lowerRoman"/>
      <w:start w:val="13"/>
    </w:lvl>
  </w:abstractNum>
  <w:abstractNum w:abstractNumId="97">
    <w:nsid w:val="2A155DBC"/>
    <w:multiLevelType w:val="hybridMultilevel"/>
    <w:lvl w:ilvl="0">
      <w:lvlJc w:val="left"/>
      <w:lvlText w:val="(%1)"/>
      <w:numFmt w:val="lowerRoman"/>
      <w:start w:val="16"/>
    </w:lvl>
  </w:abstractNum>
  <w:abstractNum w:abstractNumId="98">
    <w:nsid w:val="1D9F6E5F"/>
    <w:multiLevelType w:val="hybridMultilevel"/>
    <w:lvl w:ilvl="0">
      <w:lvlJc w:val="left"/>
      <w:lvlText w:val="(%1)"/>
      <w:numFmt w:val="lowerRoman"/>
      <w:start w:val="10"/>
    </w:lvl>
  </w:abstractNum>
  <w:abstractNum w:abstractNumId="99">
    <w:nsid w:val="97E1B4E"/>
    <w:multiLevelType w:val="hybridMultilevel"/>
    <w:lvl w:ilvl="0">
      <w:lvlJc w:val="left"/>
      <w:lvlText w:val="(%1)"/>
      <w:numFmt w:val="decimal"/>
      <w:start w:val="1"/>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1)"/>
      <w:numFmt w:val="decimal"/>
      <w:start w:val="4"/>
    </w:lvl>
  </w:abstractNum>
  <w:abstractNum w:abstractNumId="102">
    <w:nsid w:val="53584BCB"/>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4"/>
    </w:lvl>
  </w:abstractNum>
  <w:abstractNum w:abstractNumId="103">
    <w:nsid w:val="415E286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4">
    <w:nsid w:val="7C58FD05"/>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05">
    <w:nsid w:val="23D86AAC"/>
    <w:multiLevelType w:val="hybridMultilevel"/>
    <w:lvl w:ilvl="0">
      <w:lvlJc w:val="left"/>
      <w:lvlText w:val="(%1)"/>
      <w:numFmt w:val="decimal"/>
      <w:start w:val="23"/>
    </w:lvl>
  </w:abstractNum>
  <w:abstractNum w:abstractNumId="106">
    <w:nsid w:val="45E6D486"/>
    <w:multiLevelType w:val="hybridMultilevel"/>
    <w:lvl w:ilvl="0">
      <w:lvlJc w:val="left"/>
      <w:lvlText w:val="(%1)"/>
      <w:numFmt w:val="decimal"/>
      <w:start w:val="45"/>
    </w:lvl>
  </w:abstractNum>
  <w:abstractNum w:abstractNumId="107">
    <w:nsid w:val="5C10FE21"/>
    <w:multiLevelType w:val="hybridMultilevel"/>
    <w:lvl w:ilvl="0">
      <w:lvlJc w:val="left"/>
      <w:lvlText w:val="(%1)"/>
      <w:numFmt w:val="decimal"/>
      <w:start w:val="1"/>
    </w:lvl>
    <w:lvl w:ilvl="1">
      <w:lvlJc w:val="left"/>
      <w:lvlText w:val="(%2)"/>
      <w:numFmt w:val="lowerLetter"/>
      <w:start w:val="1"/>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2"/>
    </w:lvl>
  </w:abstractNum>
  <w:abstractNum w:abstractNumId="111">
    <w:nsid w:val="78DF6A55"/>
    <w:multiLevelType w:val="hybridMultilevel"/>
    <w:lvl w:ilvl="0">
      <w:lvlJc w:val="left"/>
      <w:lvlText w:val="(%1)"/>
      <w:numFmt w:val="upperLetter"/>
      <w:start w:val="1"/>
    </w:lvl>
  </w:abstractNum>
  <w:abstractNum w:abstractNumId="112">
    <w:nsid w:val="39B7AAA2"/>
    <w:multiLevelType w:val="hybridMultilevel"/>
    <w:lvl w:ilvl="0">
      <w:lvlJc w:val="left"/>
      <w:lvlText w:val="(%1)"/>
      <w:numFmt w:val="decimal"/>
      <w:start w:val="1"/>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2"/>
    </w:lvl>
  </w:abstractNum>
  <w:abstractNum w:abstractNumId="115">
    <w:nsid w:val="379E21B5"/>
    <w:multiLevelType w:val="hybridMultilevel"/>
    <w:lvl w:ilvl="0">
      <w:lvlJc w:val="left"/>
      <w:lvlText w:val="(%1)"/>
      <w:numFmt w:val="decimal"/>
      <w:start w:val="1"/>
    </w:lvl>
  </w:abstractNum>
  <w:abstractNum w:abstractNumId="116">
    <w:nsid w:val="69E373"/>
    <w:multiLevelType w:val="hybridMultilevel"/>
    <w:lvl w:ilvl="0">
      <w:lvlJc w:val="left"/>
      <w:lvlText w:val="•"/>
      <w:numFmt w:val="bullet"/>
      <w:start w:val="1"/>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1)"/>
      <w:numFmt w:val="decimal"/>
      <w:start w:val="4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jpe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198" Type="http://schemas.openxmlformats.org/officeDocument/2006/relationships/hyperlink" Target="https://www.sec.gov/ix?doc=/Archives/edgar/data/1283699/000128369921000039/tmus-20201231.htm" TargetMode="External"/><Relationship Id="rId199" Type="http://schemas.openxmlformats.org/officeDocument/2006/relationships/hyperlink" Target="https://www.sec.gov/Archives/edgar/data/1283699/000119312521124685/d71321ddef14a.htm" TargetMode="External"/><Relationship Id="rId200" Type="http://schemas.openxmlformats.org/officeDocument/2006/relationships/hyperlink" Target="https://www.sec.gov/ix?doc=/Archives/edgar/data/1283699/000114036121001209/nt10018737x4_8k.htm" TargetMode="External"/><Relationship Id="rId201" Type="http://schemas.openxmlformats.org/officeDocument/2006/relationships/hyperlink" Target="https://www.sec.gov/ix?doc=/Archives/edgar/data/1283699/000119312521076354/d152529d8k.htm" TargetMode="External"/><Relationship Id="rId202" Type="http://schemas.openxmlformats.org/officeDocument/2006/relationships/hyperlink" Target="https://www.sec.gov/ix?doc=/Archives/edgar/data/1283699/000114036121008606/nt10021707x3_8k.htm" TargetMode="External"/><Relationship Id="rId203" Type="http://schemas.openxmlformats.org/officeDocument/2006/relationships/hyperlink" Target="https://www.sec.gov/ix?doc=/Archives/edgar/data/1283699/000114036121009648/nt10021707x7_8k.htm" TargetMode="External"/><Relationship Id="rId204" Type="http://schemas.openxmlformats.org/officeDocument/2006/relationships/hyperlink" Target="https://www.sec.gov/ix?doc=/Archives/edgar/data/1283699/000119312521113210/d91079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2021-04-23T15:30:45Z</dcterms:created>
  <dcterms:modified xsi:type="dcterms:W3CDTF">2021-04-23T15:30:45Z</dcterms:modified>
</cp:coreProperties>
</file>